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0"/>
      </w:tblGrid>
      <w:tr w:rsidR="004B7E44" w:rsidRPr="0023616A" w14:paraId="74AABF4C" w14:textId="77777777" w:rsidTr="004B7E44">
        <w:trPr>
          <w:trHeight w:val="2536"/>
        </w:trPr>
        <w:tc>
          <w:tcPr>
            <w:tcW w:w="8541" w:type="dxa"/>
            <w:tcBorders>
              <w:top w:val="nil"/>
              <w:left w:val="nil"/>
              <w:bottom w:val="nil"/>
              <w:right w:val="nil"/>
            </w:tcBorders>
          </w:tcPr>
          <w:p w14:paraId="5D795500" w14:textId="77777777" w:rsidR="004B7E44" w:rsidRPr="0023616A" w:rsidRDefault="004B7E44" w:rsidP="004B7E44">
            <w:pPr>
              <w:rPr>
                <w:rFonts w:ascii="Garamond" w:hAnsi="Garamond"/>
              </w:rPr>
            </w:pPr>
            <w:r w:rsidRPr="0023616A">
              <w:rPr>
                <w:rFonts w:ascii="Garamond" w:hAnsi="Garamond"/>
                <w:noProof/>
                <w:lang w:bidi="nl-NL"/>
              </w:rPr>
              <mc:AlternateContent>
                <mc:Choice Requires="wps">
                  <w:drawing>
                    <wp:inline distT="0" distB="0" distL="0" distR="0" wp14:anchorId="244E63BF" wp14:editId="712C67B1">
                      <wp:extent cx="6067425" cy="1666875"/>
                      <wp:effectExtent l="0" t="0" r="0" b="0"/>
                      <wp:docPr id="8" name="Tekstvak 8"/>
                      <wp:cNvGraphicFramePr/>
                      <a:graphic xmlns:a="http://schemas.openxmlformats.org/drawingml/2006/main">
                        <a:graphicData uri="http://schemas.microsoft.com/office/word/2010/wordprocessingShape">
                          <wps:wsp>
                            <wps:cNvSpPr txBox="1"/>
                            <wps:spPr>
                              <a:xfrm>
                                <a:off x="0" y="0"/>
                                <a:ext cx="6067425" cy="1666875"/>
                              </a:xfrm>
                              <a:prstGeom prst="rect">
                                <a:avLst/>
                              </a:prstGeom>
                              <a:noFill/>
                              <a:ln w="6350">
                                <a:noFill/>
                              </a:ln>
                            </wps:spPr>
                            <wps:txbx>
                              <w:txbxContent>
                                <w:p w14:paraId="1492CDC2" w14:textId="77777777" w:rsidR="00930368" w:rsidRPr="0023616A" w:rsidRDefault="00930368" w:rsidP="00930368">
                                  <w:pPr>
                                    <w:pStyle w:val="Titel"/>
                                    <w:jc w:val="center"/>
                                    <w:rPr>
                                      <w:rFonts w:ascii="Garamond" w:hAnsi="Garamond"/>
                                      <w:bCs/>
                                      <w:sz w:val="72"/>
                                      <w:szCs w:val="72"/>
                                    </w:rPr>
                                  </w:pPr>
                                </w:p>
                                <w:p w14:paraId="54B39F34" w14:textId="3D12C816" w:rsidR="00AF60F7" w:rsidRPr="0023616A" w:rsidRDefault="00AF60F7" w:rsidP="00930368">
                                  <w:pPr>
                                    <w:pStyle w:val="Titel"/>
                                    <w:jc w:val="center"/>
                                    <w:rPr>
                                      <w:rFonts w:ascii="Garamond" w:hAnsi="Garamond"/>
                                      <w:bCs/>
                                      <w:sz w:val="72"/>
                                      <w:szCs w:val="72"/>
                                    </w:rPr>
                                  </w:pPr>
                                  <w:r w:rsidRPr="0023616A">
                                    <w:rPr>
                                      <w:rFonts w:ascii="Garamond" w:hAnsi="Garamond"/>
                                      <w:bCs/>
                                      <w:sz w:val="72"/>
                                      <w:szCs w:val="72"/>
                                    </w:rPr>
                                    <w:t>Investing in Dutch companies</w:t>
                                  </w:r>
                                </w:p>
                                <w:p w14:paraId="7678A7FC" w14:textId="6E33CFB1" w:rsidR="004B7E44" w:rsidRPr="0023616A" w:rsidRDefault="004B7E44" w:rsidP="004B7E44">
                                  <w:pPr>
                                    <w:pStyle w:val="Titel"/>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44E63BF" id="_x0000_t202" coordsize="21600,21600" o:spt="202" path="m,l,21600r21600,l21600,xe">
                      <v:stroke joinstyle="miter"/>
                      <v:path gradientshapeok="t" o:connecttype="rect"/>
                    </v:shapetype>
                    <v:shape id="Tekstvak 8" o:spid="_x0000_s1026" type="#_x0000_t202" style="width:477.75pt;height:1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" filled="f" stroked="f" strokeweight=".5pt">
                      <v:textbox>
                        <w:txbxContent>
                          <w:p w14:paraId="1492CDC2" w14:textId="77777777" w:rsidR="00930368" w:rsidRPr="0023616A" w:rsidRDefault="00930368" w:rsidP="00930368">
                            <w:pPr>
                              <w:pStyle w:val="Titel"/>
                              <w:jc w:val="center"/>
                              <w:rPr>
                                <w:rFonts w:ascii="Garamond" w:hAnsi="Garamond"/>
                                <w:bCs/>
                                <w:sz w:val="72"/>
                                <w:szCs w:val="72"/>
                              </w:rPr>
                            </w:pPr>
                          </w:p>
                          <w:p w14:paraId="54B39F34" w14:textId="3D12C816" w:rsidR="00AF60F7" w:rsidRPr="0023616A" w:rsidRDefault="00AF60F7" w:rsidP="00930368">
                            <w:pPr>
                              <w:pStyle w:val="Titel"/>
                              <w:jc w:val="center"/>
                              <w:rPr>
                                <w:rFonts w:ascii="Garamond" w:hAnsi="Garamond"/>
                                <w:bCs/>
                                <w:sz w:val="72"/>
                                <w:szCs w:val="72"/>
                              </w:rPr>
                            </w:pPr>
                            <w:r w:rsidRPr="0023616A">
                              <w:rPr>
                                <w:rFonts w:ascii="Garamond" w:hAnsi="Garamond"/>
                                <w:bCs/>
                                <w:sz w:val="72"/>
                                <w:szCs w:val="72"/>
                              </w:rPr>
                              <w:t>Investing in Dutch companies</w:t>
                            </w:r>
                          </w:p>
                          <w:p w14:paraId="7678A7FC" w14:textId="6E33CFB1" w:rsidR="004B7E44" w:rsidRPr="0023616A" w:rsidRDefault="004B7E44" w:rsidP="004B7E44">
                            <w:pPr>
                              <w:pStyle w:val="Titel"/>
                              <w:rPr>
                                <w:rFonts w:ascii="Garamond" w:hAnsi="Garamond"/>
                              </w:rPr>
                            </w:pPr>
                          </w:p>
                        </w:txbxContent>
                      </v:textbox>
                      <w10:anchorlock/>
                    </v:shape>
                  </w:pict>
                </mc:Fallback>
              </mc:AlternateContent>
            </w:r>
          </w:p>
          <w:p w14:paraId="12BEC6C1" w14:textId="35167767" w:rsidR="004B7E44" w:rsidRPr="0023616A" w:rsidRDefault="004B7E44" w:rsidP="004B7E44">
            <w:pPr>
              <w:rPr>
                <w:rFonts w:ascii="Garamond" w:hAnsi="Garamond"/>
              </w:rPr>
            </w:pPr>
          </w:p>
          <w:p w14:paraId="3BDBA737" w14:textId="77777777" w:rsidR="004B7E44" w:rsidRPr="0023616A" w:rsidRDefault="004B7E44" w:rsidP="004B7E44">
            <w:pPr>
              <w:rPr>
                <w:rFonts w:ascii="Garamond" w:hAnsi="Garamond"/>
              </w:rPr>
            </w:pPr>
            <w:r w:rsidRPr="0023616A">
              <w:rPr>
                <w:rFonts w:ascii="Garamond" w:hAnsi="Garamond"/>
                <w:noProof/>
                <w:lang w:bidi="nl-NL"/>
              </w:rPr>
              <mc:AlternateContent>
                <mc:Choice Requires="wps">
                  <w:drawing>
                    <wp:inline distT="0" distB="0" distL="0" distR="0" wp14:anchorId="3FF16174" wp14:editId="1CB6CA76">
                      <wp:extent cx="6096000" cy="2305050"/>
                      <wp:effectExtent l="0" t="0" r="0" b="0"/>
                      <wp:docPr id="3" name="Tekstvak 3"/>
                      <wp:cNvGraphicFramePr/>
                      <a:graphic xmlns:a="http://schemas.openxmlformats.org/drawingml/2006/main">
                        <a:graphicData uri="http://schemas.microsoft.com/office/word/2010/wordprocessingShape">
                          <wps:wsp>
                            <wps:cNvSpPr txBox="1"/>
                            <wps:spPr>
                              <a:xfrm>
                                <a:off x="0" y="0"/>
                                <a:ext cx="6096000" cy="2305050"/>
                              </a:xfrm>
                              <a:prstGeom prst="rect">
                                <a:avLst/>
                              </a:prstGeom>
                              <a:noFill/>
                              <a:ln w="6350">
                                <a:noFill/>
                              </a:ln>
                            </wps:spPr>
                            <wps:txbx>
                              <w:txbxContent>
                                <w:p w14:paraId="536E3141" w14:textId="77777777" w:rsidR="00127D0E" w:rsidRDefault="00127D0E" w:rsidP="00930368">
                                  <w:pPr>
                                    <w:pStyle w:val="Ondertitel"/>
                                    <w:jc w:val="center"/>
                                    <w:rPr>
                                      <w:rFonts w:ascii="Garamond" w:hAnsi="Garamond"/>
                                      <w:bCs/>
                                      <w:sz w:val="56"/>
                                      <w:szCs w:val="56"/>
                                    </w:rPr>
                                  </w:pPr>
                                </w:p>
                                <w:p w14:paraId="1F967E13" w14:textId="64EF827F" w:rsidR="00AF60F7" w:rsidRPr="0023616A" w:rsidRDefault="00AF60F7" w:rsidP="00930368">
                                  <w:pPr>
                                    <w:pStyle w:val="Ondertitel"/>
                                    <w:jc w:val="center"/>
                                    <w:rPr>
                                      <w:rFonts w:ascii="Garamond" w:hAnsi="Garamond"/>
                                      <w:bCs/>
                                    </w:rPr>
                                  </w:pPr>
                                  <w:r w:rsidRPr="0023616A">
                                    <w:rPr>
                                      <w:rFonts w:ascii="Garamond" w:hAnsi="Garamond"/>
                                      <w:bCs/>
                                      <w:sz w:val="56"/>
                                      <w:szCs w:val="56"/>
                                    </w:rPr>
                                    <w:t xml:space="preserve">The </w:t>
                                  </w:r>
                                  <w:r w:rsidR="00127D0E">
                                    <w:rPr>
                                      <w:rFonts w:ascii="Garamond" w:hAnsi="Garamond"/>
                                      <w:bCs/>
                                      <w:sz w:val="56"/>
                                      <w:szCs w:val="56"/>
                                    </w:rPr>
                                    <w:t>R</w:t>
                                  </w:r>
                                  <w:r w:rsidRPr="0023616A">
                                    <w:rPr>
                                      <w:rFonts w:ascii="Garamond" w:hAnsi="Garamond"/>
                                      <w:bCs/>
                                      <w:sz w:val="56"/>
                                      <w:szCs w:val="56"/>
                                    </w:rPr>
                                    <w:t xml:space="preserve">ole of Dutch </w:t>
                                  </w:r>
                                  <w:r w:rsidR="00127D0E">
                                    <w:rPr>
                                      <w:rFonts w:ascii="Garamond" w:hAnsi="Garamond"/>
                                      <w:bCs/>
                                      <w:sz w:val="56"/>
                                      <w:szCs w:val="56"/>
                                    </w:rPr>
                                    <w:t>C</w:t>
                                  </w:r>
                                  <w:r w:rsidRPr="0023616A">
                                    <w:rPr>
                                      <w:rFonts w:ascii="Garamond" w:hAnsi="Garamond"/>
                                      <w:bCs/>
                                      <w:sz w:val="56"/>
                                      <w:szCs w:val="56"/>
                                    </w:rPr>
                                    <w:t xml:space="preserve">orporate </w:t>
                                  </w:r>
                                  <w:r w:rsidR="00127D0E">
                                    <w:rPr>
                                      <w:rFonts w:ascii="Garamond" w:hAnsi="Garamond"/>
                                      <w:bCs/>
                                      <w:sz w:val="56"/>
                                      <w:szCs w:val="56"/>
                                    </w:rPr>
                                    <w:t>L</w:t>
                                  </w:r>
                                  <w:r w:rsidRPr="0023616A">
                                    <w:rPr>
                                      <w:rFonts w:ascii="Garamond" w:hAnsi="Garamond"/>
                                      <w:bCs/>
                                      <w:sz w:val="56"/>
                                      <w:szCs w:val="56"/>
                                    </w:rPr>
                                    <w:t xml:space="preserve">aw in </w:t>
                                  </w:r>
                                  <w:r w:rsidR="00127D0E">
                                    <w:rPr>
                                      <w:rFonts w:ascii="Garamond" w:hAnsi="Garamond"/>
                                      <w:bCs/>
                                      <w:sz w:val="56"/>
                                      <w:szCs w:val="56"/>
                                    </w:rPr>
                                    <w:t>Supporting U.S. Investors</w:t>
                                  </w:r>
                                </w:p>
                                <w:p w14:paraId="375044F6" w14:textId="0B4C3BB3" w:rsidR="004B7E44" w:rsidRPr="0023616A" w:rsidRDefault="004B7E44" w:rsidP="004B7E44">
                                  <w:pPr>
                                    <w:pStyle w:val="Ondertitel"/>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F16174" id="Tekstvak 3" o:spid="_x0000_s1027" type="#_x0000_t202" style="width:480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" filled="f" stroked="f" strokeweight=".5pt">
                      <v:textbox>
                        <w:txbxContent>
                          <w:p w14:paraId="536E3141" w14:textId="77777777" w:rsidR="00127D0E" w:rsidRDefault="00127D0E" w:rsidP="00930368">
                            <w:pPr>
                              <w:pStyle w:val="Ondertitel"/>
                              <w:jc w:val="center"/>
                              <w:rPr>
                                <w:rFonts w:ascii="Garamond" w:hAnsi="Garamond"/>
                                <w:bCs/>
                                <w:sz w:val="56"/>
                                <w:szCs w:val="56"/>
                              </w:rPr>
                            </w:pPr>
                          </w:p>
                          <w:p w14:paraId="1F967E13" w14:textId="64EF827F" w:rsidR="00AF60F7" w:rsidRPr="0023616A" w:rsidRDefault="00AF60F7" w:rsidP="00930368">
                            <w:pPr>
                              <w:pStyle w:val="Ondertitel"/>
                              <w:jc w:val="center"/>
                              <w:rPr>
                                <w:rFonts w:ascii="Garamond" w:hAnsi="Garamond"/>
                                <w:bCs/>
                              </w:rPr>
                            </w:pPr>
                            <w:r w:rsidRPr="0023616A">
                              <w:rPr>
                                <w:rFonts w:ascii="Garamond" w:hAnsi="Garamond"/>
                                <w:bCs/>
                                <w:sz w:val="56"/>
                                <w:szCs w:val="56"/>
                              </w:rPr>
                              <w:t xml:space="preserve">The </w:t>
                            </w:r>
                            <w:r w:rsidR="00127D0E">
                              <w:rPr>
                                <w:rFonts w:ascii="Garamond" w:hAnsi="Garamond"/>
                                <w:bCs/>
                                <w:sz w:val="56"/>
                                <w:szCs w:val="56"/>
                              </w:rPr>
                              <w:t>R</w:t>
                            </w:r>
                            <w:r w:rsidRPr="0023616A">
                              <w:rPr>
                                <w:rFonts w:ascii="Garamond" w:hAnsi="Garamond"/>
                                <w:bCs/>
                                <w:sz w:val="56"/>
                                <w:szCs w:val="56"/>
                              </w:rPr>
                              <w:t xml:space="preserve">ole of Dutch </w:t>
                            </w:r>
                            <w:r w:rsidR="00127D0E">
                              <w:rPr>
                                <w:rFonts w:ascii="Garamond" w:hAnsi="Garamond"/>
                                <w:bCs/>
                                <w:sz w:val="56"/>
                                <w:szCs w:val="56"/>
                              </w:rPr>
                              <w:t>C</w:t>
                            </w:r>
                            <w:r w:rsidRPr="0023616A">
                              <w:rPr>
                                <w:rFonts w:ascii="Garamond" w:hAnsi="Garamond"/>
                                <w:bCs/>
                                <w:sz w:val="56"/>
                                <w:szCs w:val="56"/>
                              </w:rPr>
                              <w:t xml:space="preserve">orporate </w:t>
                            </w:r>
                            <w:r w:rsidR="00127D0E">
                              <w:rPr>
                                <w:rFonts w:ascii="Garamond" w:hAnsi="Garamond"/>
                                <w:bCs/>
                                <w:sz w:val="56"/>
                                <w:szCs w:val="56"/>
                              </w:rPr>
                              <w:t>L</w:t>
                            </w:r>
                            <w:r w:rsidRPr="0023616A">
                              <w:rPr>
                                <w:rFonts w:ascii="Garamond" w:hAnsi="Garamond"/>
                                <w:bCs/>
                                <w:sz w:val="56"/>
                                <w:szCs w:val="56"/>
                              </w:rPr>
                              <w:t xml:space="preserve">aw in </w:t>
                            </w:r>
                            <w:r w:rsidR="00127D0E">
                              <w:rPr>
                                <w:rFonts w:ascii="Garamond" w:hAnsi="Garamond"/>
                                <w:bCs/>
                                <w:sz w:val="56"/>
                                <w:szCs w:val="56"/>
                              </w:rPr>
                              <w:t>Supporting U.S. Investors</w:t>
                            </w:r>
                          </w:p>
                          <w:p w14:paraId="375044F6" w14:textId="0B4C3BB3" w:rsidR="004B7E44" w:rsidRPr="0023616A" w:rsidRDefault="004B7E44" w:rsidP="004B7E44">
                            <w:pPr>
                              <w:pStyle w:val="Ondertitel"/>
                              <w:rPr>
                                <w:rFonts w:ascii="Garamond" w:hAnsi="Garamond"/>
                              </w:rPr>
                            </w:pPr>
                          </w:p>
                        </w:txbxContent>
                      </v:textbox>
                      <w10:anchorlock/>
                    </v:shape>
                  </w:pict>
                </mc:Fallback>
              </mc:AlternateContent>
            </w:r>
          </w:p>
        </w:tc>
      </w:tr>
      <w:tr w:rsidR="004B7E44" w:rsidRPr="0023616A" w14:paraId="55CD400B" w14:textId="77777777" w:rsidTr="004B7E44">
        <w:trPr>
          <w:trHeight w:val="3814"/>
        </w:trPr>
        <w:tc>
          <w:tcPr>
            <w:tcW w:w="8541" w:type="dxa"/>
            <w:tcBorders>
              <w:top w:val="nil"/>
              <w:left w:val="nil"/>
              <w:bottom w:val="nil"/>
              <w:right w:val="nil"/>
            </w:tcBorders>
            <w:vAlign w:val="bottom"/>
          </w:tcPr>
          <w:p w14:paraId="5579AA0A" w14:textId="570E9F5F" w:rsidR="004B7E44" w:rsidRPr="0023616A" w:rsidRDefault="004B7E44" w:rsidP="004B7E44">
            <w:pPr>
              <w:rPr>
                <w:rFonts w:ascii="Garamond" w:hAnsi="Garamond"/>
              </w:rPr>
            </w:pPr>
          </w:p>
          <w:p w14:paraId="377D1CF9" w14:textId="236C3517" w:rsidR="004B7E44" w:rsidRPr="0023616A" w:rsidRDefault="00930368" w:rsidP="004B7E44">
            <w:pPr>
              <w:rPr>
                <w:rFonts w:ascii="Garamond" w:hAnsi="Garamond"/>
              </w:rPr>
            </w:pPr>
            <w:r w:rsidRPr="0023616A">
              <w:rPr>
                <w:rFonts w:ascii="Garamond" w:hAnsi="Garamond"/>
                <w:noProof/>
                <w:lang w:bidi="nl-NL"/>
              </w:rPr>
              <mc:AlternateContent>
                <mc:Choice Requires="wps">
                  <w:drawing>
                    <wp:anchor distT="0" distB="0" distL="114300" distR="114300" simplePos="0" relativeHeight="251661312" behindDoc="0" locked="0" layoutInCell="1" allowOverlap="1" wp14:anchorId="379F630D" wp14:editId="51C6B743">
                      <wp:simplePos x="0" y="0"/>
                      <wp:positionH relativeFrom="column">
                        <wp:posOffset>0</wp:posOffset>
                      </wp:positionH>
                      <wp:positionV relativeFrom="page">
                        <wp:posOffset>3810</wp:posOffset>
                      </wp:positionV>
                      <wp:extent cx="2840355" cy="2310765"/>
                      <wp:effectExtent l="0" t="0" r="0" b="0"/>
                      <wp:wrapThrough wrapText="bothSides">
                        <wp:wrapPolygon edited="0">
                          <wp:start x="21165" y="21600"/>
                          <wp:lineTo x="21165" y="231"/>
                          <wp:lineTo x="449" y="231"/>
                          <wp:lineTo x="449" y="21600"/>
                          <wp:lineTo x="21165" y="21600"/>
                        </wp:wrapPolygon>
                      </wp:wrapThrough>
                      <wp:docPr id="6" name="Tekstvak 6"/>
                      <wp:cNvGraphicFramePr/>
                      <a:graphic xmlns:a="http://schemas.openxmlformats.org/drawingml/2006/main">
                        <a:graphicData uri="http://schemas.microsoft.com/office/word/2010/wordprocessingShape">
                          <wps:wsp>
                            <wps:cNvSpPr txBox="1"/>
                            <wps:spPr>
                              <a:xfrm rot="10800000" flipV="1">
                                <a:off x="0" y="0"/>
                                <a:ext cx="2840355" cy="2310765"/>
                              </a:xfrm>
                              <a:prstGeom prst="rect">
                                <a:avLst/>
                              </a:prstGeom>
                              <a:noFill/>
                              <a:ln w="6350">
                                <a:noFill/>
                              </a:ln>
                            </wps:spPr>
                            <wps:txbx>
                              <w:txbxContent>
                                <w:p w14:paraId="49FD7CA0" w14:textId="260118C8" w:rsidR="004B7E44" w:rsidRPr="0023616A" w:rsidRDefault="004B7E44" w:rsidP="004B7E44">
                                  <w:pPr>
                                    <w:pStyle w:val="Kop1"/>
                                    <w:rPr>
                                      <w:rFonts w:ascii="Garamond" w:hAnsi="Garamond"/>
                                    </w:rPr>
                                  </w:pPr>
                                </w:p>
                                <w:p w14:paraId="1B089221" w14:textId="77777777" w:rsidR="00930368" w:rsidRPr="0023616A" w:rsidRDefault="00930368" w:rsidP="004B7E44">
                                  <w:pPr>
                                    <w:pStyle w:val="Kop1"/>
                                    <w:rPr>
                                      <w:rFonts w:ascii="Garamond" w:hAnsi="Garamond"/>
                                    </w:rPr>
                                  </w:pPr>
                                </w:p>
                                <w:p w14:paraId="087EA083" w14:textId="77777777" w:rsidR="00C17B49" w:rsidRDefault="00C17B49" w:rsidP="00930368">
                                  <w:pPr>
                                    <w:pStyle w:val="Kop1"/>
                                    <w:rPr>
                                      <w:rFonts w:ascii="Garamond" w:hAnsi="Garamond"/>
                                      <w:sz w:val="32"/>
                                      <w:szCs w:val="32"/>
                                    </w:rPr>
                                  </w:pPr>
                                </w:p>
                                <w:p w14:paraId="4887EF67" w14:textId="77777777" w:rsidR="00C17B49" w:rsidRDefault="00C17B49" w:rsidP="00930368">
                                  <w:pPr>
                                    <w:pStyle w:val="Kop1"/>
                                    <w:rPr>
                                      <w:rFonts w:ascii="Garamond" w:hAnsi="Garamond"/>
                                      <w:sz w:val="32"/>
                                      <w:szCs w:val="32"/>
                                    </w:rPr>
                                  </w:pPr>
                                </w:p>
                                <w:p w14:paraId="21D979CC" w14:textId="77777777" w:rsidR="00C038BE" w:rsidRDefault="00C038BE" w:rsidP="00930368">
                                  <w:pPr>
                                    <w:pStyle w:val="Kop1"/>
                                    <w:rPr>
                                      <w:rFonts w:ascii="Garamond" w:hAnsi="Garamond"/>
                                      <w:sz w:val="32"/>
                                      <w:szCs w:val="32"/>
                                    </w:rPr>
                                  </w:pPr>
                                </w:p>
                                <w:p w14:paraId="02AD561F" w14:textId="21F8125E" w:rsidR="00930368" w:rsidRPr="0023616A" w:rsidRDefault="00930368" w:rsidP="00930368">
                                  <w:pPr>
                                    <w:pStyle w:val="Kop1"/>
                                    <w:rPr>
                                      <w:rFonts w:ascii="Garamond" w:hAnsi="Garamond"/>
                                      <w:sz w:val="32"/>
                                      <w:szCs w:val="32"/>
                                    </w:rPr>
                                  </w:pPr>
                                  <w:r w:rsidRPr="0023616A">
                                    <w:rPr>
                                      <w:rFonts w:ascii="Garamond" w:hAnsi="Garamond"/>
                                      <w:sz w:val="32"/>
                                      <w:szCs w:val="32"/>
                                    </w:rPr>
                                    <w:t>Mr. E.J. (Ernest) Loor</w:t>
                                  </w:r>
                                </w:p>
                                <w:p w14:paraId="350DFD56" w14:textId="1D16C81B" w:rsidR="00930368" w:rsidRDefault="00930368" w:rsidP="00930368">
                                  <w:pPr>
                                    <w:pStyle w:val="Kop1"/>
                                    <w:rPr>
                                      <w:rFonts w:ascii="Garamond" w:hAnsi="Garamond"/>
                                      <w:sz w:val="32"/>
                                      <w:szCs w:val="32"/>
                                    </w:rPr>
                                  </w:pPr>
                                  <w:r w:rsidRPr="0023616A">
                                    <w:rPr>
                                      <w:rFonts w:ascii="Garamond" w:hAnsi="Garamond"/>
                                      <w:sz w:val="32"/>
                                      <w:szCs w:val="32"/>
                                    </w:rPr>
                                    <w:t>Loor Legal &amp;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630D" id="Tekstvak 6" o:spid="_x0000_s1028" type="#_x0000_t202" style="position:absolute;margin-left:0;margin-top:.3pt;width:223.65pt;height:181.9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" filled="f" stroked="f" strokeweight=".5pt">
                      <v:textbox>
                        <w:txbxContent>
                          <w:p w14:paraId="49FD7CA0" w14:textId="260118C8" w:rsidR="004B7E44" w:rsidRPr="0023616A" w:rsidRDefault="004B7E44" w:rsidP="004B7E44">
                            <w:pPr>
                              <w:pStyle w:val="Kop1"/>
                              <w:rPr>
                                <w:rFonts w:ascii="Garamond" w:hAnsi="Garamond"/>
                              </w:rPr>
                            </w:pPr>
                          </w:p>
                          <w:p w14:paraId="1B089221" w14:textId="77777777" w:rsidR="00930368" w:rsidRPr="0023616A" w:rsidRDefault="00930368" w:rsidP="004B7E44">
                            <w:pPr>
                              <w:pStyle w:val="Kop1"/>
                              <w:rPr>
                                <w:rFonts w:ascii="Garamond" w:hAnsi="Garamond"/>
                              </w:rPr>
                            </w:pPr>
                          </w:p>
                          <w:p w14:paraId="087EA083" w14:textId="77777777" w:rsidR="00C17B49" w:rsidRDefault="00C17B49" w:rsidP="00930368">
                            <w:pPr>
                              <w:pStyle w:val="Kop1"/>
                              <w:rPr>
                                <w:rFonts w:ascii="Garamond" w:hAnsi="Garamond"/>
                                <w:sz w:val="32"/>
                                <w:szCs w:val="32"/>
                              </w:rPr>
                            </w:pPr>
                          </w:p>
                          <w:p w14:paraId="4887EF67" w14:textId="77777777" w:rsidR="00C17B49" w:rsidRDefault="00C17B49" w:rsidP="00930368">
                            <w:pPr>
                              <w:pStyle w:val="Kop1"/>
                              <w:rPr>
                                <w:rFonts w:ascii="Garamond" w:hAnsi="Garamond"/>
                                <w:sz w:val="32"/>
                                <w:szCs w:val="32"/>
                              </w:rPr>
                            </w:pPr>
                          </w:p>
                          <w:p w14:paraId="21D979CC" w14:textId="77777777" w:rsidR="00C038BE" w:rsidRDefault="00C038BE" w:rsidP="00930368">
                            <w:pPr>
                              <w:pStyle w:val="Kop1"/>
                              <w:rPr>
                                <w:rFonts w:ascii="Garamond" w:hAnsi="Garamond"/>
                                <w:sz w:val="32"/>
                                <w:szCs w:val="32"/>
                              </w:rPr>
                            </w:pPr>
                          </w:p>
                          <w:p w14:paraId="02AD561F" w14:textId="21F8125E" w:rsidR="00930368" w:rsidRPr="0023616A" w:rsidRDefault="00930368" w:rsidP="00930368">
                            <w:pPr>
                              <w:pStyle w:val="Kop1"/>
                              <w:rPr>
                                <w:rFonts w:ascii="Garamond" w:hAnsi="Garamond"/>
                                <w:sz w:val="32"/>
                                <w:szCs w:val="32"/>
                              </w:rPr>
                            </w:pPr>
                            <w:r w:rsidRPr="0023616A">
                              <w:rPr>
                                <w:rFonts w:ascii="Garamond" w:hAnsi="Garamond"/>
                                <w:sz w:val="32"/>
                                <w:szCs w:val="32"/>
                              </w:rPr>
                              <w:t>Mr. E.J. (Ernest) Loor</w:t>
                            </w:r>
                          </w:p>
                          <w:p w14:paraId="350DFD56" w14:textId="1D16C81B" w:rsidR="00930368" w:rsidRDefault="00930368" w:rsidP="00930368">
                            <w:pPr>
                              <w:pStyle w:val="Kop1"/>
                              <w:rPr>
                                <w:rFonts w:ascii="Garamond" w:hAnsi="Garamond"/>
                                <w:sz w:val="32"/>
                                <w:szCs w:val="32"/>
                              </w:rPr>
                            </w:pPr>
                            <w:r w:rsidRPr="0023616A">
                              <w:rPr>
                                <w:rFonts w:ascii="Garamond" w:hAnsi="Garamond"/>
                                <w:sz w:val="32"/>
                                <w:szCs w:val="32"/>
                              </w:rPr>
                              <w:t>Loor Legal &amp; Partners</w:t>
                            </w:r>
                          </w:p>
                        </w:txbxContent>
                      </v:textbox>
                      <w10:wrap type="through" anchory="page"/>
                    </v:shape>
                  </w:pict>
                </mc:Fallback>
              </mc:AlternateContent>
            </w:r>
            <w:r w:rsidR="004B7E44" w:rsidRPr="0023616A">
              <w:rPr>
                <w:rFonts w:ascii="Garamond" w:hAnsi="Garamond"/>
                <w:noProof/>
                <w:lang w:bidi="nl-NL"/>
              </w:rPr>
              <mc:AlternateContent>
                <mc:Choice Requires="wps">
                  <w:drawing>
                    <wp:inline distT="0" distB="0" distL="0" distR="0" wp14:anchorId="539C644C" wp14:editId="123A8175">
                      <wp:extent cx="2524259" cy="409575"/>
                      <wp:effectExtent l="0" t="0" r="0" b="0"/>
                      <wp:docPr id="7" name="Tekstvak 7"/>
                      <wp:cNvGraphicFramePr/>
                      <a:graphic xmlns:a="http://schemas.openxmlformats.org/drawingml/2006/main">
                        <a:graphicData uri="http://schemas.microsoft.com/office/word/2010/wordprocessingShape">
                          <wps:wsp>
                            <wps:cNvSpPr txBox="1"/>
                            <wps:spPr>
                              <a:xfrm>
                                <a:off x="0" y="0"/>
                                <a:ext cx="2524259" cy="409575"/>
                              </a:xfrm>
                              <a:prstGeom prst="rect">
                                <a:avLst/>
                              </a:prstGeom>
                              <a:noFill/>
                              <a:ln w="6350">
                                <a:noFill/>
                              </a:ln>
                            </wps:spPr>
                            <wps:txbx>
                              <w:txbxContent>
                                <w:p w14:paraId="4099BE1B" w14:textId="77777777" w:rsidR="00AF60F7" w:rsidRDefault="00AF60F7" w:rsidP="004B7E44">
                                  <w:pPr>
                                    <w:rPr>
                                      <w:lang w:bidi="nl-NL"/>
                                    </w:rPr>
                                  </w:pPr>
                                </w:p>
                                <w:p w14:paraId="6B99CFA0" w14:textId="77777777" w:rsidR="00AF60F7" w:rsidRDefault="00AF60F7" w:rsidP="004B7E44">
                                  <w:pPr>
                                    <w:rPr>
                                      <w:lang w:bidi="nl-NL"/>
                                    </w:rPr>
                                  </w:pPr>
                                </w:p>
                                <w:p w14:paraId="6C0D45C9" w14:textId="77777777" w:rsidR="00AF60F7" w:rsidRDefault="00AF60F7" w:rsidP="004B7E44">
                                  <w:pPr>
                                    <w:rPr>
                                      <w:lang w:bidi="nl-NL"/>
                                    </w:rPr>
                                  </w:pPr>
                                </w:p>
                                <w:p w14:paraId="2D1293F3" w14:textId="06BF1820" w:rsidR="004B7E44" w:rsidRPr="004B7E44" w:rsidRDefault="004B7E44" w:rsidP="004B7E44">
                                  <w:r w:rsidRPr="004B7E44">
                                    <w:rPr>
                                      <w:lang w:bidi="nl-NL"/>
                                    </w:rPr>
                                    <w:t>Adres</w:t>
                                  </w:r>
                                </w:p>
                                <w:p w14:paraId="3CC2A619" w14:textId="77777777" w:rsidR="004B7E44" w:rsidRPr="004B7E44" w:rsidRDefault="004B7E44" w:rsidP="004B7E44">
                                  <w:r w:rsidRPr="004B7E44">
                                    <w:rPr>
                                      <w:lang w:bidi="nl-NL"/>
                                    </w:rPr>
                                    <w:t>Postcode en plaats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39C644C" id="Tekstvak 7" o:spid="_x0000_s1029" type="#_x0000_t202" style="width:198.7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" filled="f" stroked="f" strokeweight=".5pt">
                      <v:textbox>
                        <w:txbxContent>
                          <w:p w14:paraId="4099BE1B" w14:textId="77777777" w:rsidR="00AF60F7" w:rsidRDefault="00AF60F7" w:rsidP="004B7E44">
                            <w:pPr>
                              <w:rPr>
                                <w:lang w:bidi="nl-NL"/>
                              </w:rPr>
                            </w:pPr>
                          </w:p>
                          <w:p w14:paraId="6B99CFA0" w14:textId="77777777" w:rsidR="00AF60F7" w:rsidRDefault="00AF60F7" w:rsidP="004B7E44">
                            <w:pPr>
                              <w:rPr>
                                <w:lang w:bidi="nl-NL"/>
                              </w:rPr>
                            </w:pPr>
                          </w:p>
                          <w:p w14:paraId="6C0D45C9" w14:textId="77777777" w:rsidR="00AF60F7" w:rsidRDefault="00AF60F7" w:rsidP="004B7E44">
                            <w:pPr>
                              <w:rPr>
                                <w:lang w:bidi="nl-NL"/>
                              </w:rPr>
                            </w:pPr>
                          </w:p>
                          <w:p w14:paraId="2D1293F3" w14:textId="06BF1820" w:rsidR="004B7E44" w:rsidRPr="004B7E44" w:rsidRDefault="004B7E44" w:rsidP="004B7E44">
                            <w:r w:rsidRPr="004B7E44">
                              <w:rPr>
                                <w:lang w:bidi="nl-NL"/>
                              </w:rPr>
                              <w:t>Adres</w:t>
                            </w:r>
                          </w:p>
                          <w:p w14:paraId="3CC2A619" w14:textId="77777777" w:rsidR="004B7E44" w:rsidRPr="004B7E44" w:rsidRDefault="004B7E44" w:rsidP="004B7E44">
                            <w:r w:rsidRPr="004B7E44">
                              <w:rPr>
                                <w:lang w:bidi="nl-NL"/>
                              </w:rPr>
                              <w:t>Postcode en plaats</w:t>
                            </w:r>
                          </w:p>
                        </w:txbxContent>
                      </v:textbox>
                      <w10:anchorlock/>
                    </v:shape>
                  </w:pict>
                </mc:Fallback>
              </mc:AlternateContent>
            </w:r>
            <w:r w:rsidR="004B7E44" w:rsidRPr="0023616A">
              <w:rPr>
                <w:rFonts w:ascii="Garamond" w:hAnsi="Garamond"/>
                <w:noProof/>
                <w:lang w:bidi="nl-NL"/>
              </w:rPr>
              <mc:AlternateContent>
                <mc:Choice Requires="wps">
                  <w:drawing>
                    <wp:inline distT="0" distB="0" distL="0" distR="0" wp14:anchorId="47530F83" wp14:editId="5886FADE">
                      <wp:extent cx="2215166" cy="605155"/>
                      <wp:effectExtent l="0" t="0" r="0" b="4445"/>
                      <wp:docPr id="10" name="Tekstvak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306B059A" w14:textId="13206ABB"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30F83" id="Tekstvak 10" o:spid="_x0000_s1030"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" filled="f" stroked="f" strokeweight=".5pt">
                      <v:textbox>
                        <w:txbxContent>
                          <w:p w14:paraId="306B059A" w14:textId="13206ABB" w:rsidR="004B7E44" w:rsidRPr="004B7E44" w:rsidRDefault="004B7E44" w:rsidP="004B7E44"/>
                        </w:txbxContent>
                      </v:textbox>
                      <w10:anchorlock/>
                    </v:shape>
                  </w:pict>
                </mc:Fallback>
              </mc:AlternateContent>
            </w:r>
          </w:p>
        </w:tc>
      </w:tr>
    </w:tbl>
    <w:p w14:paraId="3E1EB9B1" w14:textId="27BCCE4E" w:rsidR="004B7E44" w:rsidRPr="0023616A" w:rsidRDefault="004B7E44" w:rsidP="004B7E44">
      <w:pPr>
        <w:rPr>
          <w:rFonts w:ascii="Garamond" w:hAnsi="Garamond"/>
        </w:rPr>
      </w:pPr>
      <w:r w:rsidRPr="0023616A">
        <w:rPr>
          <w:rFonts w:ascii="Garamond" w:hAnsi="Garamond"/>
          <w:noProof/>
          <w:lang w:bidi="nl-NL"/>
        </w:rPr>
        <w:drawing>
          <wp:anchor distT="0" distB="0" distL="114300" distR="114300" simplePos="0" relativeHeight="251658240" behindDoc="1" locked="0" layoutInCell="1" allowOverlap="1" wp14:anchorId="4D52EE2A" wp14:editId="587C7E48">
            <wp:simplePos x="0" y="0"/>
            <wp:positionH relativeFrom="column">
              <wp:posOffset>-720090</wp:posOffset>
            </wp:positionH>
            <wp:positionV relativeFrom="page">
              <wp:posOffset>-445</wp:posOffset>
            </wp:positionV>
            <wp:extent cx="7740015" cy="10842171"/>
            <wp:effectExtent l="0" t="0" r="0" b="0"/>
            <wp:wrapNone/>
            <wp:docPr id="1" name="Afbeelding 1" descr="detail van stadsgebouwen in zwart-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842171"/>
                    </a:xfrm>
                    <a:prstGeom prst="rect">
                      <a:avLst/>
                    </a:prstGeom>
                  </pic:spPr>
                </pic:pic>
              </a:graphicData>
            </a:graphic>
            <wp14:sizeRelH relativeFrom="margin">
              <wp14:pctWidth>0</wp14:pctWidth>
            </wp14:sizeRelH>
            <wp14:sizeRelV relativeFrom="margin">
              <wp14:pctHeight>0</wp14:pctHeight>
            </wp14:sizeRelV>
          </wp:anchor>
        </w:drawing>
      </w:r>
    </w:p>
    <w:p w14:paraId="3BC69105" w14:textId="5522E675" w:rsidR="004B7E44" w:rsidRPr="0023616A" w:rsidRDefault="003336FB">
      <w:pPr>
        <w:spacing w:after="200"/>
        <w:rPr>
          <w:rFonts w:ascii="Garamond" w:hAnsi="Garamond"/>
        </w:rPr>
      </w:pPr>
      <w:r w:rsidRPr="0023616A">
        <w:rPr>
          <w:rFonts w:ascii="Garamond" w:hAnsi="Garamond"/>
          <w:noProof/>
          <w:lang w:bidi="nl-NL"/>
        </w:rPr>
        <w:drawing>
          <wp:anchor distT="0" distB="0" distL="114300" distR="114300" simplePos="0" relativeHeight="251660288" behindDoc="0" locked="0" layoutInCell="1" allowOverlap="1" wp14:anchorId="5872E6C6" wp14:editId="286DC25A">
            <wp:simplePos x="0" y="0"/>
            <wp:positionH relativeFrom="column">
              <wp:posOffset>-255270</wp:posOffset>
            </wp:positionH>
            <wp:positionV relativeFrom="paragraph">
              <wp:posOffset>8942705</wp:posOffset>
            </wp:positionV>
            <wp:extent cx="1714500" cy="540904"/>
            <wp:effectExtent l="0" t="0" r="0" b="0"/>
            <wp:wrapNone/>
            <wp:docPr id="12" name="Afbeelding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Afbeelding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8415" cy="542139"/>
                    </a:xfrm>
                    <a:prstGeom prst="rect">
                      <a:avLst/>
                    </a:prstGeom>
                  </pic:spPr>
                </pic:pic>
              </a:graphicData>
            </a:graphic>
            <wp14:sizeRelH relativeFrom="margin">
              <wp14:pctWidth>0</wp14:pctWidth>
            </wp14:sizeRelH>
            <wp14:sizeRelV relativeFrom="margin">
              <wp14:pctHeight>0</wp14:pctHeight>
            </wp14:sizeRelV>
          </wp:anchor>
        </w:drawing>
      </w:r>
      <w:r w:rsidR="0069537D" w:rsidRPr="0023616A">
        <w:rPr>
          <w:rFonts w:ascii="Garamond" w:hAnsi="Garamond"/>
          <w:noProof/>
          <w:lang w:bidi="nl-NL"/>
        </w:rPr>
        <mc:AlternateContent>
          <mc:Choice Requires="wps">
            <w:drawing>
              <wp:anchor distT="0" distB="0" distL="114300" distR="114300" simplePos="0" relativeHeight="251659264" behindDoc="1" locked="0" layoutInCell="1" allowOverlap="1" wp14:anchorId="4B3BD568" wp14:editId="225D4503">
                <wp:simplePos x="0" y="0"/>
                <wp:positionH relativeFrom="margin">
                  <wp:align>center</wp:align>
                </wp:positionH>
                <wp:positionV relativeFrom="page">
                  <wp:posOffset>2753996</wp:posOffset>
                </wp:positionV>
                <wp:extent cx="6648450" cy="6419850"/>
                <wp:effectExtent l="0" t="0" r="0" b="0"/>
                <wp:wrapNone/>
                <wp:docPr id="2" name="Rechthoek 2" descr="gekleurde rechthoek"/>
                <wp:cNvGraphicFramePr/>
                <a:graphic xmlns:a="http://schemas.openxmlformats.org/drawingml/2006/main">
                  <a:graphicData uri="http://schemas.microsoft.com/office/word/2010/wordprocessingShape">
                    <wps:wsp>
                      <wps:cNvSpPr/>
                      <wps:spPr>
                        <a:xfrm>
                          <a:off x="0" y="0"/>
                          <a:ext cx="6648450" cy="6419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4712D" id="Rechthoek 2" o:spid="_x0000_s1026" alt="gekleurde rechthoek" style="position:absolute;margin-left:0;margin-top:216.85pt;width:523.5pt;height:50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" fillcolor="#a4063e [3204]" stroked="f" strokeweight="2pt">
                <w10:wrap anchorx="margin" anchory="page"/>
              </v:rect>
            </w:pict>
          </mc:Fallback>
        </mc:AlternateContent>
      </w:r>
      <w:r w:rsidR="004B7E44" w:rsidRPr="0023616A">
        <w:rPr>
          <w:rFonts w:ascii="Garamond" w:hAnsi="Garamond"/>
          <w:lang w:bidi="nl-NL"/>
        </w:rPr>
        <w:br w:type="page"/>
      </w:r>
    </w:p>
    <w:p w14:paraId="1DBDC2AE" w14:textId="77777777" w:rsidR="00F064DA" w:rsidRDefault="00F064DA" w:rsidP="00930368">
      <w:pPr>
        <w:pStyle w:val="Kop3"/>
        <w:jc w:val="center"/>
        <w:rPr>
          <w:rFonts w:ascii="Garamond" w:hAnsi="Garamond"/>
          <w:b/>
          <w:i w:val="0"/>
          <w:sz w:val="32"/>
          <w:szCs w:val="32"/>
        </w:rPr>
      </w:pPr>
    </w:p>
    <w:p w14:paraId="547B86D4" w14:textId="70DD23E7" w:rsidR="00930368" w:rsidRDefault="00930368" w:rsidP="00930368">
      <w:pPr>
        <w:pStyle w:val="Kop3"/>
        <w:jc w:val="center"/>
        <w:rPr>
          <w:rFonts w:ascii="Garamond" w:hAnsi="Garamond"/>
          <w:b/>
          <w:i w:val="0"/>
          <w:sz w:val="32"/>
          <w:szCs w:val="32"/>
        </w:rPr>
      </w:pPr>
      <w:r w:rsidRPr="0023616A">
        <w:rPr>
          <w:rFonts w:ascii="Garamond" w:hAnsi="Garamond"/>
          <w:b/>
          <w:i w:val="0"/>
          <w:sz w:val="32"/>
          <w:szCs w:val="32"/>
        </w:rPr>
        <w:t xml:space="preserve">This article examines the legal strategies at play in the regulation of (ordinary) business transactions and decisions in order to achieve </w:t>
      </w:r>
      <w:r w:rsidR="00A6392C" w:rsidRPr="0023616A">
        <w:rPr>
          <w:rFonts w:ascii="Garamond" w:hAnsi="Garamond"/>
          <w:b/>
          <w:i w:val="0"/>
          <w:sz w:val="32"/>
          <w:szCs w:val="32"/>
        </w:rPr>
        <w:t xml:space="preserve">optimal alignment </w:t>
      </w:r>
      <w:r w:rsidRPr="0023616A">
        <w:rPr>
          <w:rFonts w:ascii="Garamond" w:hAnsi="Garamond"/>
          <w:b/>
          <w:i w:val="0"/>
          <w:sz w:val="32"/>
          <w:szCs w:val="32"/>
        </w:rPr>
        <w:t xml:space="preserve">between an investor and the board </w:t>
      </w:r>
      <w:r w:rsidR="00A6392C" w:rsidRPr="0023616A">
        <w:rPr>
          <w:rFonts w:ascii="Garamond" w:hAnsi="Garamond"/>
          <w:b/>
          <w:i w:val="0"/>
          <w:sz w:val="32"/>
          <w:szCs w:val="32"/>
        </w:rPr>
        <w:t xml:space="preserve">with the goal </w:t>
      </w:r>
      <w:r w:rsidRPr="0023616A">
        <w:rPr>
          <w:rFonts w:ascii="Garamond" w:hAnsi="Garamond"/>
          <w:b/>
          <w:i w:val="0"/>
          <w:sz w:val="32"/>
          <w:szCs w:val="32"/>
        </w:rPr>
        <w:t xml:space="preserve">of increasing </w:t>
      </w:r>
      <w:r w:rsidR="0069537D">
        <w:rPr>
          <w:rFonts w:ascii="Garamond" w:hAnsi="Garamond"/>
          <w:b/>
          <w:i w:val="0"/>
          <w:sz w:val="32"/>
          <w:szCs w:val="32"/>
        </w:rPr>
        <w:t xml:space="preserve">value for </w:t>
      </w:r>
      <w:r w:rsidR="00A6392C" w:rsidRPr="0023616A">
        <w:rPr>
          <w:rFonts w:ascii="Garamond" w:hAnsi="Garamond"/>
          <w:b/>
          <w:i w:val="0"/>
          <w:sz w:val="32"/>
          <w:szCs w:val="32"/>
        </w:rPr>
        <w:t>investor</w:t>
      </w:r>
      <w:r w:rsidR="0069537D">
        <w:rPr>
          <w:rFonts w:ascii="Garamond" w:hAnsi="Garamond"/>
          <w:b/>
          <w:i w:val="0"/>
          <w:sz w:val="32"/>
          <w:szCs w:val="32"/>
        </w:rPr>
        <w:t>s</w:t>
      </w:r>
      <w:r w:rsidR="00A6392C" w:rsidRPr="0023616A">
        <w:rPr>
          <w:rFonts w:ascii="Garamond" w:hAnsi="Garamond"/>
          <w:b/>
          <w:i w:val="0"/>
          <w:sz w:val="32"/>
          <w:szCs w:val="32"/>
        </w:rPr>
        <w:t xml:space="preserve"> </w:t>
      </w:r>
    </w:p>
    <w:p w14:paraId="5652C87E" w14:textId="77777777" w:rsidR="00BB15F5" w:rsidRPr="0023616A" w:rsidRDefault="00BB15F5" w:rsidP="00930368">
      <w:pPr>
        <w:pStyle w:val="Kop3"/>
        <w:jc w:val="center"/>
        <w:rPr>
          <w:rFonts w:ascii="Garamond" w:hAnsi="Garamond"/>
          <w:b/>
          <w:i w:val="0"/>
          <w:sz w:val="32"/>
          <w:szCs w:val="32"/>
        </w:rPr>
      </w:pPr>
    </w:p>
    <w:p w14:paraId="67EC7E9B" w14:textId="68804E0C" w:rsidR="0043649C" w:rsidRPr="003A7625" w:rsidRDefault="00F064DA" w:rsidP="00F064DA">
      <w:pPr>
        <w:pStyle w:val="Normaalweb"/>
        <w:rPr>
          <w:rFonts w:ascii="Garamond" w:hAnsi="Garamond"/>
          <w:sz w:val="26"/>
          <w:szCs w:val="26"/>
        </w:rPr>
      </w:pPr>
      <w:r w:rsidRPr="00F064DA">
        <w:rPr>
          <w:rStyle w:val="Zwaar"/>
          <w:rFonts w:ascii="Garamond" w:hAnsi="Garamond"/>
          <w:sz w:val="26"/>
          <w:szCs w:val="26"/>
        </w:rPr>
        <w:t>1.</w:t>
      </w:r>
      <w:r>
        <w:rPr>
          <w:rStyle w:val="Zwaar"/>
          <w:rFonts w:ascii="Garamond" w:hAnsi="Garamond"/>
          <w:sz w:val="26"/>
          <w:szCs w:val="26"/>
        </w:rPr>
        <w:t xml:space="preserve"> </w:t>
      </w:r>
      <w:r w:rsidR="0043649C" w:rsidRPr="003A7625">
        <w:rPr>
          <w:rStyle w:val="Zwaar"/>
          <w:rFonts w:ascii="Garamond" w:hAnsi="Garamond"/>
          <w:sz w:val="26"/>
          <w:szCs w:val="26"/>
        </w:rPr>
        <w:t>Introduction</w:t>
      </w:r>
    </w:p>
    <w:p w14:paraId="0C8492B1" w14:textId="109F00D8" w:rsidR="00884554" w:rsidRPr="00884554" w:rsidRDefault="00127D0E" w:rsidP="00884554">
      <w:pPr>
        <w:pStyle w:val="Normaalweb"/>
        <w:rPr>
          <w:rFonts w:ascii="Garamond" w:hAnsi="Garamond"/>
          <w:sz w:val="26"/>
          <w:szCs w:val="26"/>
        </w:rPr>
      </w:pPr>
      <w:r w:rsidRPr="00127D0E">
        <w:rPr>
          <w:rFonts w:ascii="Garamond" w:hAnsi="Garamond"/>
          <w:sz w:val="26"/>
          <w:szCs w:val="26"/>
        </w:rPr>
        <w:t>Investing in a company means entrusting your capital to others. As an investor, you'll rely on the company's board and its shareholders to act in your best interest.</w:t>
      </w:r>
      <w:r>
        <w:rPr>
          <w:rFonts w:ascii="Garamond" w:hAnsi="Garamond"/>
          <w:sz w:val="26"/>
          <w:szCs w:val="26"/>
        </w:rPr>
        <w:t xml:space="preserve"> </w:t>
      </w:r>
      <w:r w:rsidR="00884554" w:rsidRPr="00884554">
        <w:rPr>
          <w:rFonts w:ascii="Garamond" w:hAnsi="Garamond"/>
          <w:sz w:val="26"/>
          <w:szCs w:val="26"/>
        </w:rPr>
        <w:t>However, this can give rise to certain challenges, such as managing relationships and ensuring everyone’s interests are aligned. These issues are often referred to as "agency problems"</w:t>
      </w:r>
      <w:r w:rsidR="00840F5F">
        <w:rPr>
          <w:rFonts w:ascii="Garamond" w:hAnsi="Garamond"/>
          <w:sz w:val="26"/>
          <w:szCs w:val="26"/>
        </w:rPr>
        <w:t>.</w:t>
      </w:r>
    </w:p>
    <w:p w14:paraId="0653700C" w14:textId="08421255" w:rsidR="0043649C" w:rsidRPr="003A7625" w:rsidRDefault="0043649C" w:rsidP="0043649C">
      <w:pPr>
        <w:pStyle w:val="Normaalweb"/>
        <w:rPr>
          <w:rFonts w:ascii="Garamond" w:hAnsi="Garamond"/>
          <w:sz w:val="26"/>
          <w:szCs w:val="26"/>
        </w:rPr>
      </w:pPr>
      <w:r w:rsidRPr="003A7625">
        <w:rPr>
          <w:rFonts w:ascii="Garamond" w:hAnsi="Garamond"/>
          <w:sz w:val="26"/>
          <w:szCs w:val="26"/>
        </w:rPr>
        <w:t xml:space="preserve">In an investment round, </w:t>
      </w:r>
      <w:r w:rsidR="0069537D">
        <w:rPr>
          <w:rFonts w:ascii="Garamond" w:hAnsi="Garamond"/>
          <w:sz w:val="26"/>
          <w:szCs w:val="26"/>
        </w:rPr>
        <w:t xml:space="preserve">there are, broadly speaking, </w:t>
      </w:r>
      <w:r w:rsidRPr="003A7625">
        <w:rPr>
          <w:rFonts w:ascii="Garamond" w:hAnsi="Garamond"/>
          <w:sz w:val="26"/>
          <w:szCs w:val="26"/>
        </w:rPr>
        <w:t xml:space="preserve">two types of agency problems </w:t>
      </w:r>
      <w:r w:rsidR="0069537D">
        <w:rPr>
          <w:rFonts w:ascii="Garamond" w:hAnsi="Garamond"/>
          <w:sz w:val="26"/>
          <w:szCs w:val="26"/>
        </w:rPr>
        <w:t xml:space="preserve">that </w:t>
      </w:r>
      <w:r w:rsidRPr="003A7625">
        <w:rPr>
          <w:rFonts w:ascii="Garamond" w:hAnsi="Garamond"/>
          <w:sz w:val="26"/>
          <w:szCs w:val="26"/>
        </w:rPr>
        <w:t>can arise: vertical agency problems (between shareholders and the company’s management) and horizontal agency problems (between common shareholders and preferred shareholders, with different financial and control rights).</w:t>
      </w:r>
    </w:p>
    <w:p w14:paraId="25928648" w14:textId="69315D6E" w:rsidR="00205D6F" w:rsidRDefault="0043649C" w:rsidP="00D8065C">
      <w:pPr>
        <w:pStyle w:val="Normaalweb"/>
        <w:rPr>
          <w:rFonts w:ascii="Garamond" w:hAnsi="Garamond"/>
          <w:sz w:val="26"/>
          <w:szCs w:val="26"/>
        </w:rPr>
      </w:pPr>
      <w:r w:rsidRPr="003A7625">
        <w:rPr>
          <w:rFonts w:ascii="Garamond" w:hAnsi="Garamond"/>
          <w:sz w:val="26"/>
          <w:szCs w:val="26"/>
        </w:rPr>
        <w:t>Both U.S. and Dutch corporate law offer solutions to address these issues.</w:t>
      </w:r>
      <w:r w:rsidR="00884554">
        <w:rPr>
          <w:rFonts w:ascii="Garamond" w:hAnsi="Garamond"/>
          <w:sz w:val="26"/>
          <w:szCs w:val="26"/>
        </w:rPr>
        <w:t xml:space="preserve"> </w:t>
      </w:r>
      <w:r w:rsidRPr="003A7625">
        <w:rPr>
          <w:rFonts w:ascii="Garamond" w:hAnsi="Garamond"/>
          <w:sz w:val="26"/>
          <w:szCs w:val="26"/>
        </w:rPr>
        <w:t>In the following chapters, I compare U.S. and Dutch corporate law, illustrating the similarities and differences</w:t>
      </w:r>
      <w:r w:rsidR="009F0F83">
        <w:rPr>
          <w:rFonts w:ascii="Garamond" w:hAnsi="Garamond"/>
          <w:sz w:val="26"/>
          <w:szCs w:val="26"/>
        </w:rPr>
        <w:t>.</w:t>
      </w:r>
      <w:r w:rsidR="00205D6F">
        <w:rPr>
          <w:rStyle w:val="Voetnootmarkering"/>
          <w:rFonts w:ascii="Garamond" w:hAnsi="Garamond"/>
          <w:sz w:val="26"/>
          <w:szCs w:val="26"/>
        </w:rPr>
        <w:footnoteReference w:id="1"/>
      </w:r>
      <w:r w:rsidR="00205D6F" w:rsidRPr="003A7625">
        <w:rPr>
          <w:rFonts w:ascii="Garamond" w:hAnsi="Garamond"/>
          <w:sz w:val="26"/>
          <w:szCs w:val="26"/>
        </w:rPr>
        <w:t xml:space="preserve"> This highlights how Dutch corporate law </w:t>
      </w:r>
      <w:r w:rsidR="00205D6F">
        <w:rPr>
          <w:rFonts w:ascii="Garamond" w:hAnsi="Garamond"/>
          <w:sz w:val="26"/>
          <w:szCs w:val="26"/>
        </w:rPr>
        <w:t>allows</w:t>
      </w:r>
      <w:r w:rsidR="00205D6F" w:rsidRPr="003A7625">
        <w:rPr>
          <w:rFonts w:ascii="Garamond" w:hAnsi="Garamond"/>
          <w:sz w:val="26"/>
          <w:szCs w:val="26"/>
        </w:rPr>
        <w:t xml:space="preserve"> U.S. business</w:t>
      </w:r>
      <w:r w:rsidR="00205D6F">
        <w:rPr>
          <w:rFonts w:ascii="Garamond" w:hAnsi="Garamond"/>
          <w:sz w:val="26"/>
          <w:szCs w:val="26"/>
        </w:rPr>
        <w:t>es</w:t>
      </w:r>
      <w:r w:rsidR="00205D6F" w:rsidRPr="003A7625">
        <w:rPr>
          <w:rFonts w:ascii="Garamond" w:hAnsi="Garamond"/>
          <w:sz w:val="26"/>
          <w:szCs w:val="26"/>
        </w:rPr>
        <w:t xml:space="preserve"> to invest in Dutch companies</w:t>
      </w:r>
      <w:r w:rsidR="00205D6F">
        <w:rPr>
          <w:rFonts w:ascii="Garamond" w:hAnsi="Garamond"/>
          <w:sz w:val="26"/>
          <w:szCs w:val="26"/>
        </w:rPr>
        <w:t xml:space="preserve"> with confidence</w:t>
      </w:r>
      <w:r w:rsidR="00205D6F" w:rsidRPr="003A7625">
        <w:rPr>
          <w:rFonts w:ascii="Garamond" w:hAnsi="Garamond"/>
          <w:sz w:val="26"/>
          <w:szCs w:val="26"/>
        </w:rPr>
        <w:t xml:space="preserve">, </w:t>
      </w:r>
      <w:r w:rsidR="00205D6F">
        <w:rPr>
          <w:rFonts w:ascii="Garamond" w:hAnsi="Garamond"/>
          <w:sz w:val="26"/>
          <w:szCs w:val="26"/>
        </w:rPr>
        <w:t>while reducing transaction costs</w:t>
      </w:r>
      <w:r w:rsidR="00205D6F" w:rsidRPr="003A7625">
        <w:rPr>
          <w:rFonts w:ascii="Garamond" w:hAnsi="Garamond"/>
          <w:sz w:val="26"/>
          <w:szCs w:val="26"/>
        </w:rPr>
        <w:t xml:space="preserve">. Additionally, I will provide legal strategies </w:t>
      </w:r>
      <w:r w:rsidR="00205D6F">
        <w:rPr>
          <w:rFonts w:ascii="Garamond" w:hAnsi="Garamond"/>
          <w:sz w:val="26"/>
          <w:szCs w:val="26"/>
        </w:rPr>
        <w:t>to ensure s</w:t>
      </w:r>
      <w:r w:rsidR="00884554">
        <w:rPr>
          <w:rFonts w:ascii="Garamond" w:hAnsi="Garamond"/>
          <w:sz w:val="26"/>
          <w:szCs w:val="26"/>
        </w:rPr>
        <w:t>olid</w:t>
      </w:r>
      <w:r w:rsidR="00205D6F">
        <w:rPr>
          <w:rFonts w:ascii="Garamond" w:hAnsi="Garamond"/>
          <w:sz w:val="26"/>
          <w:szCs w:val="26"/>
        </w:rPr>
        <w:t xml:space="preserve"> business operations in the Netherlands</w:t>
      </w:r>
      <w:r w:rsidR="00205D6F" w:rsidRPr="003A7625">
        <w:rPr>
          <w:rFonts w:ascii="Garamond" w:hAnsi="Garamond"/>
          <w:sz w:val="26"/>
          <w:szCs w:val="26"/>
        </w:rPr>
        <w:t>.</w:t>
      </w:r>
    </w:p>
    <w:p w14:paraId="7A8208EB" w14:textId="39763CE0" w:rsidR="00205D6F" w:rsidRDefault="00000000" w:rsidP="0043649C">
      <w:pPr>
        <w:spacing w:before="100" w:beforeAutospacing="1" w:after="100" w:afterAutospacing="1" w:line="240" w:lineRule="auto"/>
        <w:rPr>
          <w:rFonts w:ascii="Garamond" w:eastAsia="Times New Roman" w:hAnsi="Garamond" w:cs="Times New Roman"/>
          <w:b/>
          <w:bCs/>
          <w:color w:val="auto"/>
          <w:sz w:val="26"/>
          <w:szCs w:val="26"/>
          <w:lang w:eastAsia="nl-NL"/>
        </w:rPr>
      </w:pPr>
      <w:bookmarkStart w:id="0" w:name="_Hlk180160690"/>
      <w:r>
        <w:rPr>
          <w:rFonts w:ascii="Garamond" w:eastAsia="Times New Roman" w:hAnsi="Garamond" w:cs="Times New Roman"/>
          <w:color w:val="auto"/>
          <w:sz w:val="26"/>
          <w:szCs w:val="26"/>
          <w:lang w:eastAsia="nl-NL"/>
        </w:rPr>
        <w:pict w14:anchorId="47D46011">
          <v:rect id="_x0000_i1025" style="width:0;height:1.5pt" o:hralign="center" o:hrstd="t" o:hr="t" fillcolor="#a0a0a0" stroked="f"/>
        </w:pict>
      </w:r>
      <w:bookmarkEnd w:id="0"/>
    </w:p>
    <w:p w14:paraId="5790FA6B" w14:textId="73B80EF9"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2. Similarities Between Dutch and Delaware</w:t>
      </w:r>
      <w:r w:rsidR="00884554">
        <w:rPr>
          <w:rFonts w:ascii="Garamond" w:eastAsia="Times New Roman" w:hAnsi="Garamond" w:cs="Times New Roman"/>
          <w:b/>
          <w:bCs/>
          <w:color w:val="auto"/>
          <w:sz w:val="26"/>
          <w:szCs w:val="26"/>
          <w:lang w:eastAsia="nl-NL"/>
        </w:rPr>
        <w:t xml:space="preserve"> Corporate</w:t>
      </w:r>
      <w:r w:rsidRPr="003A7625">
        <w:rPr>
          <w:rFonts w:ascii="Garamond" w:eastAsia="Times New Roman" w:hAnsi="Garamond" w:cs="Times New Roman"/>
          <w:b/>
          <w:bCs/>
          <w:color w:val="auto"/>
          <w:sz w:val="26"/>
          <w:szCs w:val="26"/>
          <w:lang w:eastAsia="nl-NL"/>
        </w:rPr>
        <w:t xml:space="preserve"> Law</w:t>
      </w:r>
    </w:p>
    <w:p w14:paraId="3851AC8A" w14:textId="77777777" w:rsidR="00205D6F"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 xml:space="preserve">Dutch and Delaware corporate governance </w:t>
      </w:r>
      <w:r>
        <w:rPr>
          <w:rFonts w:ascii="Garamond" w:eastAsia="Times New Roman" w:hAnsi="Garamond" w:cs="Times New Roman"/>
          <w:color w:val="auto"/>
          <w:sz w:val="26"/>
          <w:szCs w:val="26"/>
          <w:lang w:eastAsia="nl-NL"/>
        </w:rPr>
        <w:t xml:space="preserve">systems </w:t>
      </w:r>
      <w:r w:rsidRPr="003A7625">
        <w:rPr>
          <w:rFonts w:ascii="Garamond" w:eastAsia="Times New Roman" w:hAnsi="Garamond" w:cs="Times New Roman"/>
          <w:color w:val="auto"/>
          <w:sz w:val="26"/>
          <w:szCs w:val="26"/>
          <w:lang w:eastAsia="nl-NL"/>
        </w:rPr>
        <w:t xml:space="preserve">share notable similarities, reflecting a broader trend in corporate regulation that seeks to balance the interests of investors and directors/entrepreneurs. In both </w:t>
      </w:r>
      <w:r>
        <w:rPr>
          <w:rFonts w:ascii="Garamond" w:eastAsia="Times New Roman" w:hAnsi="Garamond" w:cs="Times New Roman"/>
          <w:color w:val="auto"/>
          <w:sz w:val="26"/>
          <w:szCs w:val="26"/>
          <w:lang w:eastAsia="nl-NL"/>
        </w:rPr>
        <w:t>jurisdictions</w:t>
      </w:r>
      <w:r w:rsidRPr="003A7625">
        <w:rPr>
          <w:rFonts w:ascii="Garamond" w:eastAsia="Times New Roman" w:hAnsi="Garamond" w:cs="Times New Roman"/>
          <w:color w:val="auto"/>
          <w:sz w:val="26"/>
          <w:szCs w:val="26"/>
          <w:lang w:eastAsia="nl-NL"/>
        </w:rPr>
        <w:t xml:space="preserve">, boards of directors play a crucial role in safeguarding the interests of shareholders while exercising discretion over the day-to-day operations of the company. Moreover, both </w:t>
      </w:r>
      <w:r>
        <w:rPr>
          <w:rFonts w:ascii="Garamond" w:eastAsia="Times New Roman" w:hAnsi="Garamond" w:cs="Times New Roman"/>
          <w:color w:val="auto"/>
          <w:sz w:val="26"/>
          <w:szCs w:val="26"/>
          <w:lang w:eastAsia="nl-NL"/>
        </w:rPr>
        <w:t xml:space="preserve">systems provide shareholders with mechanisms </w:t>
      </w:r>
      <w:r w:rsidRPr="003A7625">
        <w:rPr>
          <w:rFonts w:ascii="Garamond" w:eastAsia="Times New Roman" w:hAnsi="Garamond" w:cs="Times New Roman"/>
          <w:color w:val="auto"/>
          <w:sz w:val="26"/>
          <w:szCs w:val="26"/>
          <w:lang w:eastAsia="nl-NL"/>
        </w:rPr>
        <w:t xml:space="preserve">to influence </w:t>
      </w:r>
      <w:r>
        <w:rPr>
          <w:rFonts w:ascii="Garamond" w:eastAsia="Times New Roman" w:hAnsi="Garamond" w:cs="Times New Roman"/>
          <w:color w:val="auto"/>
          <w:sz w:val="26"/>
          <w:szCs w:val="26"/>
          <w:lang w:eastAsia="nl-NL"/>
        </w:rPr>
        <w:t xml:space="preserve">company decisions and </w:t>
      </w:r>
      <w:r w:rsidRPr="003A7625">
        <w:rPr>
          <w:rFonts w:ascii="Garamond" w:eastAsia="Times New Roman" w:hAnsi="Garamond" w:cs="Times New Roman"/>
          <w:color w:val="auto"/>
          <w:sz w:val="26"/>
          <w:szCs w:val="26"/>
          <w:lang w:eastAsia="nl-NL"/>
        </w:rPr>
        <w:t>governance.</w:t>
      </w:r>
    </w:p>
    <w:p w14:paraId="69C172A4" w14:textId="2E4A2CDD" w:rsidR="00205D6F" w:rsidRPr="00945229"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Pr>
          <w:rFonts w:ascii="Garamond" w:eastAsia="Times New Roman" w:hAnsi="Garamond" w:cs="Times New Roman"/>
          <w:color w:val="auto"/>
          <w:sz w:val="26"/>
          <w:szCs w:val="26"/>
          <w:lang w:eastAsia="nl-NL"/>
        </w:rPr>
        <w:t>Here’s how both systems allow investors to protect their interests:</w:t>
      </w:r>
    </w:p>
    <w:p w14:paraId="58833300" w14:textId="6D397BAC"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2.1 Financial Rights</w:t>
      </w:r>
    </w:p>
    <w:p w14:paraId="3C48675C" w14:textId="77777777"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Investors often secure special contractual rights through convertible preferred shares. As in the United States, there are various forms of preferred stock, including common preferred stock and cumulative preferred stock. Additionally, preferred shares can be participating or non-participating, and convertible or non-convertible.</w:t>
      </w:r>
    </w:p>
    <w:p w14:paraId="3F729CC0" w14:textId="77777777" w:rsidR="00466EAC" w:rsidRDefault="00466EAC" w:rsidP="0043649C">
      <w:pPr>
        <w:spacing w:before="100" w:beforeAutospacing="1" w:after="100" w:afterAutospacing="1" w:line="240" w:lineRule="auto"/>
        <w:rPr>
          <w:rFonts w:ascii="Garamond" w:eastAsia="Times New Roman" w:hAnsi="Garamond" w:cs="Times New Roman"/>
          <w:color w:val="auto"/>
          <w:sz w:val="26"/>
          <w:szCs w:val="26"/>
          <w:lang w:eastAsia="nl-NL"/>
        </w:rPr>
      </w:pPr>
    </w:p>
    <w:p w14:paraId="40B1FE87" w14:textId="2205469C"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lastRenderedPageBreak/>
        <w:t>Common agreements in this regard (especially in venture capital investments) include:</w:t>
      </w:r>
    </w:p>
    <w:p w14:paraId="077E4D2D" w14:textId="77777777" w:rsidR="00205D6F" w:rsidRPr="003A7625" w:rsidRDefault="00205D6F" w:rsidP="0043649C">
      <w:pPr>
        <w:numPr>
          <w:ilvl w:val="0"/>
          <w:numId w:val="7"/>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Liquidation preference:</w:t>
      </w:r>
      <w:r w:rsidRPr="003A7625">
        <w:rPr>
          <w:rFonts w:ascii="Garamond" w:eastAsia="Times New Roman" w:hAnsi="Garamond" w:cs="Times New Roman"/>
          <w:color w:val="auto"/>
          <w:sz w:val="26"/>
          <w:szCs w:val="26"/>
          <w:lang w:eastAsia="nl-NL"/>
        </w:rPr>
        <w:t xml:space="preserve"> A liquidation preference ensures that before any distribution is made to holders of other shares, the investor receives a one-time return on an exit.</w:t>
      </w:r>
    </w:p>
    <w:p w14:paraId="13635971" w14:textId="77777777" w:rsidR="00205D6F" w:rsidRPr="003A7625" w:rsidRDefault="00205D6F" w:rsidP="0043649C">
      <w:pPr>
        <w:numPr>
          <w:ilvl w:val="0"/>
          <w:numId w:val="7"/>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Convertible shares:</w:t>
      </w:r>
      <w:r w:rsidRPr="003A7625">
        <w:rPr>
          <w:rFonts w:ascii="Garamond" w:eastAsia="Times New Roman" w:hAnsi="Garamond" w:cs="Times New Roman"/>
          <w:color w:val="auto"/>
          <w:sz w:val="26"/>
          <w:szCs w:val="26"/>
          <w:lang w:eastAsia="nl-NL"/>
        </w:rPr>
        <w:t xml:space="preserve"> In the context of an investment, conversion often involves giving holders of convertible preferred shares the right to convert their shares into common shares, thereby waiving the liquidation preference. This gives investors the opportunity to choose between a fixed return and a share of the common shareholders' proceeds.</w:t>
      </w:r>
    </w:p>
    <w:p w14:paraId="656B1053" w14:textId="492FBCD0" w:rsidR="00205D6F" w:rsidRPr="003A7625" w:rsidRDefault="00205D6F" w:rsidP="0043649C">
      <w:pPr>
        <w:numPr>
          <w:ilvl w:val="0"/>
          <w:numId w:val="7"/>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Participating or non-participating shares:</w:t>
      </w:r>
      <w:r w:rsidRPr="003A7625">
        <w:rPr>
          <w:rFonts w:ascii="Garamond" w:eastAsia="Times New Roman" w:hAnsi="Garamond" w:cs="Times New Roman"/>
          <w:color w:val="auto"/>
          <w:sz w:val="26"/>
          <w:szCs w:val="26"/>
          <w:lang w:eastAsia="nl-NL"/>
        </w:rPr>
        <w:t xml:space="preserve"> As in the U.S., investors can negotiate for participating and non-participating preferred shares. Non-participating preferred shares only provide the right to the agreed liquidation preference without conversion. Participating preferred shares, after receiving the liquidation preference, also entitle preferred shareholders to share in the proceeds if a certain </w:t>
      </w:r>
      <w:r>
        <w:rPr>
          <w:rFonts w:ascii="Garamond" w:eastAsia="Times New Roman" w:hAnsi="Garamond" w:cs="Times New Roman"/>
          <w:color w:val="auto"/>
          <w:sz w:val="26"/>
          <w:szCs w:val="26"/>
          <w:lang w:eastAsia="nl-NL"/>
        </w:rPr>
        <w:t>threshold</w:t>
      </w:r>
      <w:r w:rsidRPr="003A7625">
        <w:rPr>
          <w:rFonts w:ascii="Garamond" w:eastAsia="Times New Roman" w:hAnsi="Garamond" w:cs="Times New Roman"/>
          <w:color w:val="auto"/>
          <w:sz w:val="26"/>
          <w:szCs w:val="26"/>
          <w:lang w:eastAsia="nl-NL"/>
        </w:rPr>
        <w:t xml:space="preserve"> is met.</w:t>
      </w:r>
    </w:p>
    <w:p w14:paraId="575E3CE8" w14:textId="674EABA2" w:rsidR="00205D6F" w:rsidRPr="003A7625" w:rsidRDefault="00205D6F" w:rsidP="0043649C">
      <w:pPr>
        <w:numPr>
          <w:ilvl w:val="0"/>
          <w:numId w:val="7"/>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Anti-dilution rights:</w:t>
      </w:r>
      <w:r w:rsidRPr="003A7625">
        <w:rPr>
          <w:rFonts w:ascii="Garamond" w:eastAsia="Times New Roman" w:hAnsi="Garamond" w:cs="Times New Roman"/>
          <w:color w:val="auto"/>
          <w:sz w:val="26"/>
          <w:szCs w:val="26"/>
          <w:lang w:eastAsia="nl-NL"/>
        </w:rPr>
        <w:t xml:space="preserve"> To protect investors from events where shares are issued at a lower price than the investor paid (a so-called down round), anti-dilution rights can be negotiated. These rights are often covered by contract in shareholder agreements. As in the United States, there are different types of anti-dilution clauses, such as full-ratchet or weighted-average clauses</w:t>
      </w:r>
      <w:r>
        <w:rPr>
          <w:rStyle w:val="Voetnootmarkering"/>
          <w:rFonts w:ascii="Garamond" w:eastAsia="Times New Roman" w:hAnsi="Garamond" w:cs="Times New Roman"/>
          <w:color w:val="auto"/>
          <w:sz w:val="26"/>
          <w:szCs w:val="26"/>
          <w:lang w:eastAsia="nl-NL"/>
        </w:rPr>
        <w:footnoteReference w:id="2"/>
      </w:r>
      <w:r w:rsidRPr="003A7625">
        <w:rPr>
          <w:rFonts w:ascii="Garamond" w:eastAsia="Times New Roman" w:hAnsi="Garamond" w:cs="Times New Roman"/>
          <w:color w:val="auto"/>
          <w:sz w:val="26"/>
          <w:szCs w:val="26"/>
          <w:lang w:eastAsia="nl-NL"/>
        </w:rPr>
        <w:t>, with the latter being divided into broad-based and narrow-based categories</w:t>
      </w:r>
      <w:r>
        <w:rPr>
          <w:rStyle w:val="Voetnootmarkering"/>
          <w:rFonts w:ascii="Garamond" w:eastAsia="Times New Roman" w:hAnsi="Garamond" w:cs="Times New Roman"/>
          <w:color w:val="auto"/>
          <w:sz w:val="26"/>
          <w:szCs w:val="26"/>
          <w:lang w:eastAsia="nl-NL"/>
        </w:rPr>
        <w:footnoteReference w:id="3"/>
      </w:r>
      <w:r w:rsidRPr="003A7625">
        <w:rPr>
          <w:rFonts w:ascii="Garamond" w:eastAsia="Times New Roman" w:hAnsi="Garamond" w:cs="Times New Roman"/>
          <w:color w:val="auto"/>
          <w:sz w:val="26"/>
          <w:szCs w:val="26"/>
          <w:lang w:eastAsia="nl-NL"/>
        </w:rPr>
        <w:t>. Other possible investor protections include preemptive rights</w:t>
      </w:r>
      <w:r>
        <w:rPr>
          <w:rStyle w:val="Voetnootmarkering"/>
          <w:rFonts w:ascii="Garamond" w:eastAsia="Times New Roman" w:hAnsi="Garamond" w:cs="Times New Roman"/>
          <w:color w:val="auto"/>
          <w:sz w:val="26"/>
          <w:szCs w:val="26"/>
          <w:lang w:eastAsia="nl-NL"/>
        </w:rPr>
        <w:footnoteReference w:id="4"/>
      </w:r>
      <w:r w:rsidRPr="003A7625">
        <w:rPr>
          <w:rFonts w:ascii="Garamond" w:eastAsia="Times New Roman" w:hAnsi="Garamond" w:cs="Times New Roman"/>
          <w:color w:val="auto"/>
          <w:sz w:val="26"/>
          <w:szCs w:val="26"/>
          <w:lang w:eastAsia="nl-NL"/>
        </w:rPr>
        <w:t xml:space="preserve"> or, in exceptional cases, a veto right.</w:t>
      </w:r>
    </w:p>
    <w:p w14:paraId="55537AAE" w14:textId="115BD575" w:rsidR="00205D6F" w:rsidRPr="003A7625" w:rsidRDefault="00205D6F" w:rsidP="0043649C">
      <w:pPr>
        <w:numPr>
          <w:ilvl w:val="0"/>
          <w:numId w:val="7"/>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Redemption rights:</w:t>
      </w:r>
      <w:r w:rsidRPr="003A7625">
        <w:rPr>
          <w:rFonts w:ascii="Garamond" w:eastAsia="Times New Roman" w:hAnsi="Garamond" w:cs="Times New Roman"/>
          <w:color w:val="auto"/>
          <w:sz w:val="26"/>
          <w:szCs w:val="26"/>
          <w:lang w:eastAsia="nl-NL"/>
        </w:rPr>
        <w:t xml:space="preserve"> This </w:t>
      </w:r>
      <w:r>
        <w:rPr>
          <w:rFonts w:ascii="Garamond" w:eastAsia="Times New Roman" w:hAnsi="Garamond" w:cs="Times New Roman"/>
          <w:color w:val="auto"/>
          <w:sz w:val="26"/>
          <w:szCs w:val="26"/>
          <w:lang w:eastAsia="nl-NL"/>
        </w:rPr>
        <w:t xml:space="preserve">ensures that </w:t>
      </w:r>
      <w:r w:rsidRPr="003A7625">
        <w:rPr>
          <w:rFonts w:ascii="Garamond" w:eastAsia="Times New Roman" w:hAnsi="Garamond" w:cs="Times New Roman"/>
          <w:color w:val="auto"/>
          <w:sz w:val="26"/>
          <w:szCs w:val="26"/>
          <w:lang w:eastAsia="nl-NL"/>
        </w:rPr>
        <w:t>investor</w:t>
      </w:r>
      <w:r>
        <w:rPr>
          <w:rFonts w:ascii="Garamond" w:eastAsia="Times New Roman" w:hAnsi="Garamond" w:cs="Times New Roman"/>
          <w:color w:val="auto"/>
          <w:sz w:val="26"/>
          <w:szCs w:val="26"/>
          <w:lang w:eastAsia="nl-NL"/>
        </w:rPr>
        <w:t>s</w:t>
      </w:r>
      <w:r w:rsidRPr="003A7625">
        <w:rPr>
          <w:rFonts w:ascii="Garamond" w:eastAsia="Times New Roman" w:hAnsi="Garamond" w:cs="Times New Roman"/>
          <w:color w:val="auto"/>
          <w:sz w:val="26"/>
          <w:szCs w:val="26"/>
          <w:lang w:eastAsia="nl-NL"/>
        </w:rPr>
        <w:t xml:space="preserve"> </w:t>
      </w:r>
      <w:r>
        <w:rPr>
          <w:rFonts w:ascii="Garamond" w:eastAsia="Times New Roman" w:hAnsi="Garamond" w:cs="Times New Roman"/>
          <w:color w:val="auto"/>
          <w:sz w:val="26"/>
          <w:szCs w:val="26"/>
          <w:lang w:eastAsia="nl-NL"/>
        </w:rPr>
        <w:t>can</w:t>
      </w:r>
      <w:r w:rsidRPr="003A7625">
        <w:rPr>
          <w:rFonts w:ascii="Garamond" w:eastAsia="Times New Roman" w:hAnsi="Garamond" w:cs="Times New Roman"/>
          <w:color w:val="auto"/>
          <w:sz w:val="26"/>
          <w:szCs w:val="26"/>
          <w:lang w:eastAsia="nl-NL"/>
        </w:rPr>
        <w:t xml:space="preserve"> have their shares repurchased by the company at a pre-agreed price.</w:t>
      </w:r>
    </w:p>
    <w:p w14:paraId="64962C0C" w14:textId="77777777" w:rsidR="00205D6F" w:rsidRPr="003A7625"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2.2 Voting Rights</w:t>
      </w:r>
    </w:p>
    <w:p w14:paraId="7024C32A" w14:textId="30F03E1E" w:rsidR="00205D6F" w:rsidRPr="003A7625" w:rsidRDefault="00884554"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884554">
        <w:rPr>
          <w:rFonts w:ascii="Garamond" w:eastAsia="Times New Roman" w:hAnsi="Garamond" w:cs="Times New Roman"/>
          <w:color w:val="auto"/>
          <w:sz w:val="26"/>
          <w:szCs w:val="26"/>
          <w:lang w:eastAsia="nl-NL"/>
        </w:rPr>
        <w:t>To further protect against risks, investors can negotiate specific voting and control rights, such as:</w:t>
      </w:r>
    </w:p>
    <w:p w14:paraId="4D60174C" w14:textId="58239104" w:rsidR="00205D6F" w:rsidRPr="003A7625" w:rsidRDefault="00205D6F" w:rsidP="0043649C">
      <w:pPr>
        <w:numPr>
          <w:ilvl w:val="0"/>
          <w:numId w:val="8"/>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Shareholder’s right to elect board members:</w:t>
      </w:r>
      <w:r w:rsidRPr="003A7625">
        <w:rPr>
          <w:rFonts w:ascii="Garamond" w:eastAsia="Times New Roman" w:hAnsi="Garamond" w:cs="Times New Roman"/>
          <w:color w:val="auto"/>
          <w:sz w:val="26"/>
          <w:szCs w:val="26"/>
          <w:lang w:eastAsia="nl-NL"/>
        </w:rPr>
        <w:t xml:space="preserve"> A common remedy to avoid vertical agency problems is an investor's right to appoint a director. To maintain control over their investment, investors in the Netherlands often stipulate this right. Another practice that has migrated from the United States is for investors to negotiate the right to appoint a board observer</w:t>
      </w:r>
      <w:r>
        <w:rPr>
          <w:rFonts w:ascii="Garamond" w:eastAsia="Times New Roman" w:hAnsi="Garamond" w:cs="Times New Roman"/>
          <w:color w:val="auto"/>
          <w:sz w:val="26"/>
          <w:szCs w:val="26"/>
          <w:lang w:eastAsia="nl-NL"/>
        </w:rPr>
        <w:t xml:space="preserve">. </w:t>
      </w:r>
      <w:r w:rsidRPr="00137FA9">
        <w:rPr>
          <w:rFonts w:ascii="Garamond" w:eastAsia="Times New Roman" w:hAnsi="Garamond" w:cs="Times New Roman"/>
          <w:color w:val="auto"/>
          <w:sz w:val="26"/>
          <w:szCs w:val="26"/>
          <w:lang w:eastAsia="nl-NL"/>
        </w:rPr>
        <w:t>A board observer is a person who does not formally serve on a company's board of directors (and thus has no voting rights), but is merely a listening ear.</w:t>
      </w:r>
      <w:r w:rsidRPr="003A7625">
        <w:rPr>
          <w:rFonts w:ascii="Garamond" w:eastAsia="Times New Roman" w:hAnsi="Garamond" w:cs="Times New Roman"/>
          <w:color w:val="auto"/>
          <w:sz w:val="26"/>
          <w:szCs w:val="26"/>
          <w:lang w:eastAsia="nl-NL"/>
        </w:rPr>
        <w:t xml:space="preserve"> This right is typically outlined in shareholder agreements.</w:t>
      </w:r>
    </w:p>
    <w:p w14:paraId="7A6A8DF5" w14:textId="7E3F18BE" w:rsidR="00205D6F" w:rsidRPr="003A7625" w:rsidRDefault="00205D6F" w:rsidP="0043649C">
      <w:pPr>
        <w:numPr>
          <w:ilvl w:val="0"/>
          <w:numId w:val="8"/>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Shareholder information rights:</w:t>
      </w:r>
      <w:r w:rsidRPr="003A7625">
        <w:rPr>
          <w:rFonts w:ascii="Garamond" w:eastAsia="Times New Roman" w:hAnsi="Garamond" w:cs="Times New Roman"/>
          <w:color w:val="auto"/>
          <w:sz w:val="26"/>
          <w:szCs w:val="26"/>
          <w:lang w:eastAsia="nl-NL"/>
        </w:rPr>
        <w:t xml:space="preserve"> To reduce the risk of information asymmetry, investors can negotiate information rights. Under Dutch law, the management board and supervisory board must provide requested information to the general meeting of shareholders, unless it conflicts with the company's overriding interests. </w:t>
      </w:r>
      <w:r>
        <w:rPr>
          <w:rFonts w:ascii="Garamond" w:eastAsia="Times New Roman" w:hAnsi="Garamond" w:cs="Times New Roman"/>
          <w:color w:val="auto"/>
          <w:sz w:val="26"/>
          <w:szCs w:val="26"/>
          <w:lang w:eastAsia="nl-NL"/>
        </w:rPr>
        <w:t>In addition, a</w:t>
      </w:r>
      <w:r w:rsidRPr="003A7625">
        <w:rPr>
          <w:rFonts w:ascii="Garamond" w:eastAsia="Times New Roman" w:hAnsi="Garamond" w:cs="Times New Roman"/>
          <w:color w:val="auto"/>
          <w:sz w:val="26"/>
          <w:szCs w:val="26"/>
          <w:lang w:eastAsia="nl-NL"/>
        </w:rPr>
        <w:t>n investor can stipulate preferred shares to help prevent decisions based on hidden information. Entrepreneurs who accept preferred shares may signal that their company is worth more than the investor’s liquidation preference.</w:t>
      </w:r>
    </w:p>
    <w:p w14:paraId="64D4D78E" w14:textId="77777777" w:rsidR="00205D6F" w:rsidRPr="003A7625" w:rsidRDefault="00205D6F" w:rsidP="0043649C">
      <w:pPr>
        <w:numPr>
          <w:ilvl w:val="0"/>
          <w:numId w:val="8"/>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Reserved matters:</w:t>
      </w:r>
      <w:r w:rsidRPr="003A7625">
        <w:rPr>
          <w:rFonts w:ascii="Garamond" w:eastAsia="Times New Roman" w:hAnsi="Garamond" w:cs="Times New Roman"/>
          <w:color w:val="auto"/>
          <w:sz w:val="26"/>
          <w:szCs w:val="26"/>
          <w:lang w:eastAsia="nl-NL"/>
        </w:rPr>
        <w:t xml:space="preserve"> The company’s shareholder agreement or bylaws may list management decisions that require the prior approval of another body, such as the general meeting of shareholders. It can also be contractually agreed that certain management decisions need the prior approval of the investor.</w:t>
      </w:r>
    </w:p>
    <w:p w14:paraId="545E3D9F" w14:textId="77777777" w:rsidR="00205D6F" w:rsidRPr="003A7625" w:rsidRDefault="00205D6F" w:rsidP="0043649C">
      <w:pPr>
        <w:numPr>
          <w:ilvl w:val="0"/>
          <w:numId w:val="8"/>
        </w:num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lastRenderedPageBreak/>
        <w:t>Drag-along and tag-along rights:</w:t>
      </w:r>
      <w:r w:rsidRPr="003A7625">
        <w:rPr>
          <w:rFonts w:ascii="Garamond" w:eastAsia="Times New Roman" w:hAnsi="Garamond" w:cs="Times New Roman"/>
          <w:color w:val="auto"/>
          <w:sz w:val="26"/>
          <w:szCs w:val="26"/>
          <w:lang w:eastAsia="nl-NL"/>
        </w:rPr>
        <w:t xml:space="preserve"> A drag-along right allows an investor to require fellow shareholders to co-sell on an exit. A tag-along right allows an investor to require co-shareholders to include the investor's shares in a sale of shares held by other shareholders.</w:t>
      </w:r>
    </w:p>
    <w:p w14:paraId="412815B5" w14:textId="77777777" w:rsidR="00205D6F" w:rsidRPr="003A7625"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2.3 Flexibility and Contractual Freedom</w:t>
      </w:r>
    </w:p>
    <w:p w14:paraId="39D594F9" w14:textId="71C820F6"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Delaware law provides significant flexibility and contractual freedom, allowing investors to meet complex contractual needs. Similarly, Dutch corporate law is fairly flexible for private companies, and specific rights and obligations can be accommodated in a company's articles of association. This dynamic enables corporate law to evolve in response to new challenges, creating a flexible regulatory environment that fosters investor confidence.</w:t>
      </w:r>
      <w:r>
        <w:rPr>
          <w:rFonts w:ascii="Garamond" w:eastAsia="Times New Roman" w:hAnsi="Garamond" w:cs="Times New Roman"/>
          <w:color w:val="auto"/>
          <w:sz w:val="26"/>
          <w:szCs w:val="26"/>
          <w:lang w:eastAsia="nl-NL"/>
        </w:rPr>
        <w:t xml:space="preserve"> As in the U.S., Dutch corporate law provides flexibility in corporate governance, which reduces risks and increases operational efficiency.</w:t>
      </w:r>
    </w:p>
    <w:p w14:paraId="7274206A" w14:textId="77777777" w:rsidR="00205D6F" w:rsidRPr="003A7625"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2.4 Initiating Litigation</w:t>
      </w:r>
    </w:p>
    <w:p w14:paraId="6C0C815C" w14:textId="77777777" w:rsidR="00205D6F" w:rsidRPr="003A7625" w:rsidRDefault="00205D6F" w:rsidP="0043649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As in Delaware, the quality of justice in the Netherlands is high. Shareholder litigation typically occurs in inquiry proceedings before the Enterprise Chamber, a division of the Amsterdam Court of Appeal that specializes in corporate proceedings. Any shareholder, alone or acting jointly, who holds sufficient shares may initiate inquiry proceedings and request the Enterprise Chamber to appoint independent investigators to review the company's policies. The Enterprise Chamber may order an inquiry if there are reasonable grounds to believe that mismanagement has occurred. Mismanagement is a broad concept and can include conflicts of interest among board members, insufficient disclosure to shareholders, abuse of minority shareholders, or the unjustified use of takeover defenses. The Enterprise Chamber may order interim measures at any time during the proceedings.</w:t>
      </w:r>
    </w:p>
    <w:p w14:paraId="72AFFCB6" w14:textId="0BEC6EEB" w:rsidR="00205D6F" w:rsidRDefault="00000000" w:rsidP="00414FE0">
      <w:pPr>
        <w:spacing w:before="100" w:beforeAutospacing="1" w:after="100" w:afterAutospacing="1" w:line="240" w:lineRule="auto"/>
        <w:rPr>
          <w:rFonts w:ascii="Garamond" w:eastAsia="Times New Roman" w:hAnsi="Garamond" w:cs="Times New Roman"/>
          <w:b/>
          <w:bCs/>
          <w:color w:val="auto"/>
          <w:sz w:val="26"/>
          <w:szCs w:val="26"/>
          <w:lang w:eastAsia="nl-NL"/>
        </w:rPr>
      </w:pPr>
      <w:r>
        <w:rPr>
          <w:rFonts w:ascii="Garamond" w:eastAsia="Times New Roman" w:hAnsi="Garamond" w:cs="Times New Roman"/>
          <w:color w:val="auto"/>
          <w:sz w:val="26"/>
          <w:szCs w:val="26"/>
          <w:lang w:eastAsia="nl-NL"/>
        </w:rPr>
        <w:pict w14:anchorId="4EC8E455">
          <v:rect id="_x0000_i1026" style="width:0;height:1.5pt" o:hralign="center" o:hrstd="t" o:hr="t" fillcolor="#a0a0a0" stroked="f"/>
        </w:pict>
      </w:r>
    </w:p>
    <w:p w14:paraId="77821924" w14:textId="5C7A30D3"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xml:space="preserve">3. </w:t>
      </w:r>
      <w:r w:rsidR="00884554">
        <w:rPr>
          <w:rFonts w:ascii="Garamond" w:eastAsia="Times New Roman" w:hAnsi="Garamond" w:cs="Times New Roman"/>
          <w:b/>
          <w:bCs/>
          <w:color w:val="auto"/>
          <w:sz w:val="26"/>
          <w:szCs w:val="26"/>
          <w:lang w:eastAsia="nl-NL"/>
        </w:rPr>
        <w:t xml:space="preserve">Differences </w:t>
      </w:r>
      <w:r w:rsidR="00884554" w:rsidRPr="00884554">
        <w:rPr>
          <w:rFonts w:ascii="Garamond" w:eastAsia="Times New Roman" w:hAnsi="Garamond" w:cs="Times New Roman"/>
          <w:b/>
          <w:bCs/>
          <w:color w:val="auto"/>
          <w:sz w:val="26"/>
          <w:szCs w:val="26"/>
          <w:lang w:eastAsia="nl-NL"/>
        </w:rPr>
        <w:t>Between Dutch and Delaware Corporate Law</w:t>
      </w:r>
    </w:p>
    <w:p w14:paraId="58E61AC0" w14:textId="6C1A4088" w:rsidR="00884554" w:rsidRPr="00884554" w:rsidRDefault="00205D6F" w:rsidP="00884554">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 xml:space="preserve">While </w:t>
      </w:r>
      <w:r>
        <w:rPr>
          <w:rFonts w:ascii="Garamond" w:eastAsia="Times New Roman" w:hAnsi="Garamond" w:cs="Times New Roman"/>
          <w:color w:val="auto"/>
          <w:sz w:val="26"/>
          <w:szCs w:val="26"/>
          <w:lang w:eastAsia="nl-NL"/>
        </w:rPr>
        <w:t xml:space="preserve">the </w:t>
      </w:r>
      <w:r w:rsidRPr="003A7625">
        <w:rPr>
          <w:rFonts w:ascii="Garamond" w:eastAsia="Times New Roman" w:hAnsi="Garamond" w:cs="Times New Roman"/>
          <w:color w:val="auto"/>
          <w:sz w:val="26"/>
          <w:szCs w:val="26"/>
          <w:lang w:eastAsia="nl-NL"/>
        </w:rPr>
        <w:t xml:space="preserve">Dutch </w:t>
      </w:r>
      <w:r>
        <w:rPr>
          <w:rFonts w:ascii="Garamond" w:eastAsia="Times New Roman" w:hAnsi="Garamond" w:cs="Times New Roman"/>
          <w:color w:val="auto"/>
          <w:sz w:val="26"/>
          <w:szCs w:val="26"/>
          <w:lang w:eastAsia="nl-NL"/>
        </w:rPr>
        <w:t>system has much in common with Delaware law</w:t>
      </w:r>
      <w:r w:rsidRPr="003A7625">
        <w:rPr>
          <w:rFonts w:ascii="Garamond" w:eastAsia="Times New Roman" w:hAnsi="Garamond" w:cs="Times New Roman"/>
          <w:color w:val="auto"/>
          <w:sz w:val="26"/>
          <w:szCs w:val="26"/>
          <w:lang w:eastAsia="nl-NL"/>
        </w:rPr>
        <w:t xml:space="preserve">, </w:t>
      </w:r>
      <w:r w:rsidR="00884554" w:rsidRPr="00884554">
        <w:rPr>
          <w:rFonts w:ascii="Garamond" w:eastAsia="Times New Roman" w:hAnsi="Garamond" w:cs="Times New Roman"/>
          <w:color w:val="auto"/>
          <w:sz w:val="26"/>
          <w:szCs w:val="26"/>
          <w:lang w:eastAsia="nl-NL"/>
        </w:rPr>
        <w:t>there are differences that U.S. investors need to be aware of when considering investments in the Netherlands.</w:t>
      </w:r>
    </w:p>
    <w:p w14:paraId="53088963" w14:textId="31A4B2C9"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3.1 Division of Powers</w:t>
      </w:r>
    </w:p>
    <w:p w14:paraId="098B89A3" w14:textId="535E4E3B"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Pr>
          <w:rFonts w:ascii="Garamond" w:eastAsia="Times New Roman" w:hAnsi="Garamond" w:cs="Times New Roman"/>
          <w:color w:val="auto"/>
          <w:sz w:val="26"/>
          <w:szCs w:val="26"/>
          <w:lang w:eastAsia="nl-NL"/>
        </w:rPr>
        <w:t>Dutch companies can adopt a one-tier board (similar to Delaware, with executive and non-executive members) or a two-tier structure</w:t>
      </w:r>
      <w:r w:rsidRPr="003A7625">
        <w:rPr>
          <w:rFonts w:ascii="Garamond" w:eastAsia="Times New Roman" w:hAnsi="Garamond" w:cs="Times New Roman"/>
          <w:color w:val="auto"/>
          <w:sz w:val="26"/>
          <w:szCs w:val="26"/>
          <w:lang w:eastAsia="nl-NL"/>
        </w:rPr>
        <w:t xml:space="preserve">, </w:t>
      </w:r>
      <w:r>
        <w:rPr>
          <w:rFonts w:ascii="Garamond" w:eastAsia="Times New Roman" w:hAnsi="Garamond" w:cs="Times New Roman"/>
          <w:color w:val="auto"/>
          <w:sz w:val="26"/>
          <w:szCs w:val="26"/>
          <w:lang w:eastAsia="nl-NL"/>
        </w:rPr>
        <w:t>which separates management and supervisory functions</w:t>
      </w:r>
      <w:r w:rsidRPr="003A7625">
        <w:rPr>
          <w:rFonts w:ascii="Garamond" w:eastAsia="Times New Roman" w:hAnsi="Garamond" w:cs="Times New Roman"/>
          <w:color w:val="auto"/>
          <w:sz w:val="26"/>
          <w:szCs w:val="26"/>
          <w:lang w:eastAsia="nl-NL"/>
        </w:rPr>
        <w:t>. Th</w:t>
      </w:r>
      <w:r>
        <w:rPr>
          <w:rFonts w:ascii="Garamond" w:eastAsia="Times New Roman" w:hAnsi="Garamond" w:cs="Times New Roman"/>
          <w:color w:val="auto"/>
          <w:sz w:val="26"/>
          <w:szCs w:val="26"/>
          <w:lang w:eastAsia="nl-NL"/>
        </w:rPr>
        <w:t>e</w:t>
      </w:r>
      <w:r w:rsidRPr="003A7625">
        <w:rPr>
          <w:rFonts w:ascii="Garamond" w:eastAsia="Times New Roman" w:hAnsi="Garamond" w:cs="Times New Roman"/>
          <w:color w:val="auto"/>
          <w:sz w:val="26"/>
          <w:szCs w:val="26"/>
          <w:lang w:eastAsia="nl-NL"/>
        </w:rPr>
        <w:t xml:space="preserve"> </w:t>
      </w:r>
      <w:r>
        <w:rPr>
          <w:rFonts w:ascii="Garamond" w:eastAsia="Times New Roman" w:hAnsi="Garamond" w:cs="Times New Roman"/>
          <w:color w:val="auto"/>
          <w:sz w:val="26"/>
          <w:szCs w:val="26"/>
          <w:lang w:eastAsia="nl-NL"/>
        </w:rPr>
        <w:t xml:space="preserve">latter </w:t>
      </w:r>
      <w:r w:rsidRPr="003A7625">
        <w:rPr>
          <w:rFonts w:ascii="Garamond" w:eastAsia="Times New Roman" w:hAnsi="Garamond" w:cs="Times New Roman"/>
          <w:color w:val="auto"/>
          <w:sz w:val="26"/>
          <w:szCs w:val="26"/>
          <w:lang w:eastAsia="nl-NL"/>
        </w:rPr>
        <w:t>structure can complicate decision-making, as supervisory boards are primarily tasked with oversight, which can lead to a disconnect between the executive board, which manages the company, and the supervisory board, which supervises and advises the executive board.</w:t>
      </w:r>
      <w:r w:rsidRPr="0011381A">
        <w:rPr>
          <w:rFonts w:eastAsiaTheme="minorHAnsi"/>
          <w:color w:val="auto"/>
          <w:kern w:val="2"/>
          <w:sz w:val="22"/>
          <w14:ligatures w14:val="standardContextual"/>
        </w:rPr>
        <w:t xml:space="preserve"> </w:t>
      </w:r>
      <w:r w:rsidRPr="0011381A">
        <w:rPr>
          <w:rFonts w:ascii="Garamond" w:eastAsia="Times New Roman" w:hAnsi="Garamond" w:cs="Times New Roman"/>
          <w:color w:val="auto"/>
          <w:sz w:val="26"/>
          <w:szCs w:val="26"/>
          <w:lang w:eastAsia="nl-NL"/>
        </w:rPr>
        <w:t>Th</w:t>
      </w:r>
      <w:r>
        <w:rPr>
          <w:rFonts w:ascii="Garamond" w:eastAsia="Times New Roman" w:hAnsi="Garamond" w:cs="Times New Roman"/>
          <w:color w:val="auto"/>
          <w:sz w:val="26"/>
          <w:szCs w:val="26"/>
          <w:lang w:eastAsia="nl-NL"/>
        </w:rPr>
        <w:t>e</w:t>
      </w:r>
      <w:r w:rsidRPr="0011381A">
        <w:rPr>
          <w:rFonts w:ascii="Garamond" w:eastAsia="Times New Roman" w:hAnsi="Garamond" w:cs="Times New Roman"/>
          <w:color w:val="auto"/>
          <w:sz w:val="26"/>
          <w:szCs w:val="26"/>
          <w:lang w:eastAsia="nl-NL"/>
        </w:rPr>
        <w:t xml:space="preserve"> two-tier system may seem more complex to U.S. investors, who are used to a single board model, but it offers additional checks and balances</w:t>
      </w:r>
      <w:r>
        <w:rPr>
          <w:rFonts w:ascii="Garamond" w:eastAsia="Times New Roman" w:hAnsi="Garamond" w:cs="Times New Roman"/>
          <w:color w:val="auto"/>
          <w:sz w:val="26"/>
          <w:szCs w:val="26"/>
          <w:lang w:eastAsia="nl-NL"/>
        </w:rPr>
        <w:t>.</w:t>
      </w:r>
    </w:p>
    <w:p w14:paraId="78441A30" w14:textId="77777777" w:rsidR="00466EAC" w:rsidRDefault="00466EAC" w:rsidP="00D8065C">
      <w:pPr>
        <w:spacing w:before="100" w:beforeAutospacing="1" w:after="100" w:afterAutospacing="1" w:line="240" w:lineRule="auto"/>
        <w:rPr>
          <w:rFonts w:ascii="Garamond" w:eastAsia="Times New Roman" w:hAnsi="Garamond" w:cs="Times New Roman"/>
          <w:b/>
          <w:bCs/>
          <w:color w:val="auto"/>
          <w:sz w:val="26"/>
          <w:szCs w:val="26"/>
          <w:lang w:eastAsia="nl-NL"/>
        </w:rPr>
      </w:pPr>
    </w:p>
    <w:p w14:paraId="0C7CB01E" w14:textId="77777777" w:rsidR="00466EAC" w:rsidRDefault="00466EAC" w:rsidP="00D8065C">
      <w:pPr>
        <w:spacing w:before="100" w:beforeAutospacing="1" w:after="100" w:afterAutospacing="1" w:line="240" w:lineRule="auto"/>
        <w:rPr>
          <w:rFonts w:ascii="Garamond" w:eastAsia="Times New Roman" w:hAnsi="Garamond" w:cs="Times New Roman"/>
          <w:b/>
          <w:bCs/>
          <w:color w:val="auto"/>
          <w:sz w:val="26"/>
          <w:szCs w:val="26"/>
          <w:lang w:eastAsia="nl-NL"/>
        </w:rPr>
      </w:pPr>
    </w:p>
    <w:p w14:paraId="2A7424D9" w14:textId="77777777" w:rsidR="00466EAC" w:rsidRDefault="00466EAC" w:rsidP="00D8065C">
      <w:pPr>
        <w:spacing w:before="100" w:beforeAutospacing="1" w:after="100" w:afterAutospacing="1" w:line="240" w:lineRule="auto"/>
        <w:rPr>
          <w:rFonts w:ascii="Garamond" w:eastAsia="Times New Roman" w:hAnsi="Garamond" w:cs="Times New Roman"/>
          <w:b/>
          <w:bCs/>
          <w:color w:val="auto"/>
          <w:sz w:val="26"/>
          <w:szCs w:val="26"/>
          <w:lang w:eastAsia="nl-NL"/>
        </w:rPr>
      </w:pPr>
    </w:p>
    <w:p w14:paraId="35B85639" w14:textId="267D27FF" w:rsidR="00205D6F" w:rsidRPr="003A7625"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lastRenderedPageBreak/>
        <w:t>§ 3.2 Shareholder vs. Stakeholder Model</w:t>
      </w:r>
    </w:p>
    <w:p w14:paraId="7BD08BFD" w14:textId="3247864C" w:rsidR="00205D6F" w:rsidRPr="003A7625" w:rsidRDefault="00205D6F" w:rsidP="00BF55D9">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 xml:space="preserve">Delaware law operates on the premise that a company is managed based on a firm-specific model, meaning the corporation is run </w:t>
      </w:r>
      <w:r w:rsidRPr="00B12536">
        <w:rPr>
          <w:rFonts w:ascii="Garamond" w:eastAsia="Times New Roman" w:hAnsi="Garamond" w:cs="Times New Roman"/>
          <w:color w:val="auto"/>
          <w:sz w:val="26"/>
          <w:szCs w:val="26"/>
          <w:lang w:eastAsia="nl-NL"/>
        </w:rPr>
        <w:t xml:space="preserve">on the idea that the shareholders are investors in that corporation. The fiduciary duties owed by directors of a Delaware corporation </w:t>
      </w:r>
      <w:r>
        <w:rPr>
          <w:rFonts w:ascii="Garamond" w:eastAsia="Times New Roman" w:hAnsi="Garamond" w:cs="Times New Roman"/>
          <w:color w:val="auto"/>
          <w:sz w:val="26"/>
          <w:szCs w:val="26"/>
          <w:lang w:eastAsia="nl-NL"/>
        </w:rPr>
        <w:t xml:space="preserve">(i.e. legal obligations of directors to act in the best interest of the company) </w:t>
      </w:r>
      <w:r w:rsidRPr="00B12536">
        <w:rPr>
          <w:rFonts w:ascii="Garamond" w:eastAsia="Times New Roman" w:hAnsi="Garamond" w:cs="Times New Roman"/>
          <w:color w:val="auto"/>
          <w:sz w:val="26"/>
          <w:szCs w:val="26"/>
          <w:lang w:eastAsia="nl-NL"/>
        </w:rPr>
        <w:t>require the directors to seek to maximize the value of the corporation over the long-term for the benefit of the stockholders as residual claimants to the value created by the specific firm that the directors serve. It does not mean striving to maximize value for diversified investors who own equity investments across all firms</w:t>
      </w:r>
      <w:r w:rsidR="00BF55D9">
        <w:rPr>
          <w:rStyle w:val="Voetnootmarkering"/>
          <w:rFonts w:ascii="Garamond" w:eastAsia="Times New Roman" w:hAnsi="Garamond" w:cs="Times New Roman"/>
          <w:color w:val="auto"/>
          <w:sz w:val="26"/>
          <w:szCs w:val="26"/>
          <w:lang w:eastAsia="nl-NL"/>
        </w:rPr>
        <w:footnoteReference w:id="5"/>
      </w:r>
      <w:r w:rsidRPr="003A7625">
        <w:rPr>
          <w:rFonts w:ascii="Garamond" w:eastAsia="Times New Roman" w:hAnsi="Garamond" w:cs="Times New Roman"/>
          <w:color w:val="auto"/>
          <w:sz w:val="26"/>
          <w:szCs w:val="26"/>
          <w:lang w:eastAsia="nl-NL"/>
        </w:rPr>
        <w:t>.</w:t>
      </w:r>
    </w:p>
    <w:p w14:paraId="0A976D76" w14:textId="2E6492F2"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0F6E4B">
        <w:rPr>
          <w:rFonts w:ascii="Garamond" w:eastAsia="Times New Roman" w:hAnsi="Garamond" w:cs="Times New Roman"/>
          <w:color w:val="auto"/>
          <w:sz w:val="26"/>
          <w:szCs w:val="26"/>
          <w:lang w:eastAsia="nl-NL"/>
        </w:rPr>
        <w:t>While Delaware law allows directors to consider the interests of other stakeholders</w:t>
      </w:r>
      <w:bookmarkStart w:id="1" w:name="_Hlk180162680"/>
      <w:r w:rsidRPr="000F6E4B">
        <w:rPr>
          <w:rFonts w:ascii="Garamond" w:eastAsia="Times New Roman" w:hAnsi="Garamond" w:cs="Times New Roman"/>
          <w:color w:val="auto"/>
          <w:sz w:val="26"/>
          <w:szCs w:val="26"/>
          <w:lang w:eastAsia="nl-NL"/>
        </w:rPr>
        <w:t>, such as employees or creditors, the ultimate goal remains maximizing shareholder value</w:t>
      </w:r>
      <w:bookmarkEnd w:id="1"/>
      <w:r w:rsidRPr="003A7625">
        <w:rPr>
          <w:rFonts w:ascii="Garamond" w:eastAsia="Times New Roman" w:hAnsi="Garamond" w:cs="Times New Roman"/>
          <w:color w:val="auto"/>
          <w:sz w:val="26"/>
          <w:szCs w:val="26"/>
          <w:lang w:eastAsia="nl-NL"/>
        </w:rPr>
        <w:t>. Directors may consider the interests of other stakeholders only as a means of promoting shareholder value.</w:t>
      </w:r>
      <w:r>
        <w:rPr>
          <w:rFonts w:ascii="Garamond" w:eastAsia="Times New Roman" w:hAnsi="Garamond" w:cs="Times New Roman"/>
          <w:color w:val="auto"/>
          <w:sz w:val="26"/>
          <w:szCs w:val="26"/>
          <w:lang w:eastAsia="nl-NL"/>
        </w:rPr>
        <w:t xml:space="preserve">  </w:t>
      </w:r>
      <w:r w:rsidRPr="0099459D">
        <w:rPr>
          <w:rFonts w:ascii="Garamond" w:eastAsia="Times New Roman" w:hAnsi="Garamond" w:cs="Times New Roman"/>
          <w:color w:val="auto"/>
          <w:sz w:val="26"/>
          <w:szCs w:val="26"/>
          <w:lang w:eastAsia="nl-NL"/>
        </w:rPr>
        <w:t>This premise does not preclude Delaware law from allowing companies to choose a model in which a company is managed for the benefit of diversified investors (for example, through a limited purpose clause in the company's bylaws)</w:t>
      </w:r>
      <w:r>
        <w:rPr>
          <w:rFonts w:ascii="Garamond" w:eastAsia="Times New Roman" w:hAnsi="Garamond" w:cs="Times New Roman"/>
          <w:color w:val="auto"/>
          <w:sz w:val="26"/>
          <w:szCs w:val="26"/>
          <w:lang w:eastAsia="nl-NL"/>
        </w:rPr>
        <w:t>.</w:t>
      </w:r>
      <w:r>
        <w:rPr>
          <w:rStyle w:val="Voetnootmarkering"/>
          <w:rFonts w:ascii="Garamond" w:eastAsia="Times New Roman" w:hAnsi="Garamond" w:cs="Times New Roman"/>
          <w:color w:val="auto"/>
          <w:sz w:val="26"/>
          <w:szCs w:val="26"/>
          <w:lang w:eastAsia="nl-NL"/>
        </w:rPr>
        <w:footnoteReference w:id="6"/>
      </w:r>
    </w:p>
    <w:p w14:paraId="6E4F07C7" w14:textId="36C9C62A"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In contrast, Dutch Supreme Court case law dictates that the board, when fulfilling its duties as assigned by law or the company’s articles of association, must prioritize the interests of the company and its affiliated enterprise, which includes shareholders but is not limited to them. Dutch law follows a firm-specific model</w:t>
      </w:r>
      <w:r>
        <w:rPr>
          <w:rStyle w:val="Voetnootmarkering"/>
          <w:rFonts w:ascii="Garamond" w:eastAsia="Times New Roman" w:hAnsi="Garamond" w:cs="Times New Roman"/>
          <w:color w:val="auto"/>
          <w:sz w:val="26"/>
          <w:szCs w:val="26"/>
          <w:lang w:eastAsia="nl-NL"/>
        </w:rPr>
        <w:footnoteReference w:id="7"/>
      </w:r>
      <w:r w:rsidRPr="003A7625">
        <w:rPr>
          <w:rFonts w:ascii="Garamond" w:eastAsia="Times New Roman" w:hAnsi="Garamond" w:cs="Times New Roman"/>
          <w:color w:val="auto"/>
          <w:sz w:val="26"/>
          <w:szCs w:val="26"/>
          <w:lang w:eastAsia="nl-NL"/>
        </w:rPr>
        <w:t>, but shareholders are part of a wider circle of stakeholders whose interests the board must carefully weigh when serving the company’s best interests. These stakeholders include employees, suppliers, customers, the public sector, and civil society.</w:t>
      </w:r>
      <w:r w:rsidRPr="00B12536">
        <w:rPr>
          <w:rFonts w:ascii="Times New Roman" w:eastAsia="Aptos" w:hAnsi="Times New Roman" w:cs="Times New Roman"/>
          <w:color w:val="auto"/>
          <w:kern w:val="2"/>
          <w:sz w:val="26"/>
          <w:szCs w:val="26"/>
          <w14:ligatures w14:val="standardContextual"/>
        </w:rPr>
        <w:t xml:space="preserve"> </w:t>
      </w:r>
      <w:r w:rsidRPr="00B12536">
        <w:rPr>
          <w:rFonts w:ascii="Garamond" w:eastAsia="Times New Roman" w:hAnsi="Garamond" w:cs="Times New Roman"/>
          <w:color w:val="auto"/>
          <w:sz w:val="26"/>
          <w:szCs w:val="26"/>
          <w:lang w:eastAsia="nl-NL"/>
        </w:rPr>
        <w:t>In any case, the board must also include the interests of an investor in its weighing of interests, but the circumstances of the case will determine how the corporate interest is colored, taking into account agreements made between shareholders and the general standards of reasonableness and fairness</w:t>
      </w:r>
      <w:r>
        <w:rPr>
          <w:rFonts w:ascii="Garamond" w:eastAsia="Times New Roman" w:hAnsi="Garamond" w:cs="Times New Roman"/>
          <w:color w:val="auto"/>
          <w:sz w:val="26"/>
          <w:szCs w:val="26"/>
          <w:lang w:eastAsia="nl-NL"/>
        </w:rPr>
        <w:t>.</w:t>
      </w:r>
      <w:r>
        <w:rPr>
          <w:rStyle w:val="Voetnootmarkering"/>
          <w:rFonts w:ascii="Garamond" w:eastAsia="Times New Roman" w:hAnsi="Garamond" w:cs="Times New Roman"/>
          <w:color w:val="auto"/>
          <w:sz w:val="26"/>
          <w:szCs w:val="26"/>
          <w:lang w:eastAsia="nl-NL"/>
        </w:rPr>
        <w:footnoteReference w:id="8"/>
      </w:r>
    </w:p>
    <w:p w14:paraId="68EA5B2C" w14:textId="77777777"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This broader view of corporate responsibility means that, more so than under Delaware law, an investor’s ability to use the company solely for personal gain is limited by the principles of board autonomy and reasonableness and fairness. These principles impose restrictions on the special contractual rights investors negotiate. American investors should be aware that the Dutch emphasis on broader social responsibility may influence corporate decision-making.</w:t>
      </w:r>
    </w:p>
    <w:p w14:paraId="01B886D2" w14:textId="77777777" w:rsidR="00205D6F" w:rsidRPr="003A7625"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While this more subjective approach to stakeholder interests may introduce costs and uncertainty for venture investors, it also provides a safety net to limit opportunism when necessary.</w:t>
      </w:r>
    </w:p>
    <w:p w14:paraId="193B90CD" w14:textId="77777777" w:rsidR="00205D6F" w:rsidRPr="003A7625" w:rsidRDefault="00205D6F"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3.3 Business Judgment Rule</w:t>
      </w:r>
    </w:p>
    <w:p w14:paraId="72818E8C" w14:textId="28B8A7DE" w:rsidR="00205D6F"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 xml:space="preserve">Under Delaware law, </w:t>
      </w:r>
      <w:bookmarkStart w:id="2" w:name="_Hlk180163588"/>
      <w:r>
        <w:rPr>
          <w:rFonts w:ascii="Garamond" w:eastAsia="Times New Roman" w:hAnsi="Garamond" w:cs="Times New Roman"/>
          <w:color w:val="auto"/>
          <w:sz w:val="26"/>
          <w:szCs w:val="26"/>
          <w:lang w:eastAsia="nl-NL"/>
        </w:rPr>
        <w:t>t</w:t>
      </w:r>
      <w:r w:rsidRPr="009F0F83">
        <w:rPr>
          <w:rFonts w:ascii="Garamond" w:eastAsia="Times New Roman" w:hAnsi="Garamond" w:cs="Times New Roman"/>
          <w:color w:val="auto"/>
          <w:sz w:val="26"/>
          <w:szCs w:val="26"/>
          <w:lang w:eastAsia="nl-NL"/>
        </w:rPr>
        <w:t xml:space="preserve">he </w:t>
      </w:r>
      <w:r w:rsidRPr="009F0F83">
        <w:rPr>
          <w:rFonts w:ascii="Garamond" w:eastAsia="Times New Roman" w:hAnsi="Garamond" w:cs="Times New Roman"/>
          <w:i/>
          <w:iCs/>
          <w:color w:val="auto"/>
          <w:sz w:val="26"/>
          <w:szCs w:val="26"/>
          <w:lang w:eastAsia="nl-NL"/>
        </w:rPr>
        <w:t>Business Judgment Rule</w:t>
      </w:r>
      <w:r w:rsidRPr="009F0F83">
        <w:rPr>
          <w:rFonts w:ascii="Garamond" w:eastAsia="Times New Roman" w:hAnsi="Garamond" w:cs="Times New Roman"/>
          <w:color w:val="auto"/>
          <w:sz w:val="26"/>
          <w:szCs w:val="26"/>
          <w:lang w:eastAsia="nl-NL"/>
        </w:rPr>
        <w:t xml:space="preserve"> protects directors' decision-making, provided they act in good faith, with due care, and in the best interest of shareholders.</w:t>
      </w:r>
      <w:r w:rsidR="00C81C06">
        <w:rPr>
          <w:rFonts w:ascii="Garamond" w:eastAsia="Times New Roman" w:hAnsi="Garamond" w:cs="Times New Roman"/>
          <w:color w:val="auto"/>
          <w:sz w:val="26"/>
          <w:szCs w:val="26"/>
          <w:lang w:eastAsia="nl-NL"/>
        </w:rPr>
        <w:t xml:space="preserve"> </w:t>
      </w:r>
      <w:r w:rsidRPr="009F0F83">
        <w:rPr>
          <w:rFonts w:ascii="Garamond" w:eastAsia="Times New Roman" w:hAnsi="Garamond" w:cs="Times New Roman"/>
          <w:color w:val="auto"/>
          <w:sz w:val="26"/>
          <w:szCs w:val="26"/>
          <w:lang w:eastAsia="nl-NL"/>
        </w:rPr>
        <w:t xml:space="preserve">Contracts cannot exempt them from these duties. Delaware law upholds a board’s decisions as long as they are </w:t>
      </w:r>
      <w:r w:rsidRPr="009F0F83">
        <w:rPr>
          <w:rFonts w:ascii="Garamond" w:eastAsia="Times New Roman" w:hAnsi="Garamond" w:cs="Times New Roman"/>
          <w:color w:val="auto"/>
          <w:sz w:val="26"/>
          <w:szCs w:val="26"/>
          <w:lang w:eastAsia="nl-NL"/>
        </w:rPr>
        <w:lastRenderedPageBreak/>
        <w:t>informed and rational but doesn't allow fiduciary duties to be completely overridden by contractual obligations</w:t>
      </w:r>
      <w:bookmarkEnd w:id="2"/>
      <w:r w:rsidRPr="003A7625">
        <w:rPr>
          <w:rFonts w:ascii="Garamond" w:eastAsia="Times New Roman" w:hAnsi="Garamond" w:cs="Times New Roman"/>
          <w:color w:val="auto"/>
          <w:sz w:val="26"/>
          <w:szCs w:val="26"/>
          <w:lang w:eastAsia="nl-NL"/>
        </w:rPr>
        <w:t xml:space="preserve">. </w:t>
      </w:r>
    </w:p>
    <w:p w14:paraId="0206DB40" w14:textId="7A864981" w:rsidR="00945229" w:rsidRDefault="00205D6F"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In the Netherlands</w:t>
      </w:r>
      <w:r>
        <w:rPr>
          <w:rFonts w:ascii="Garamond" w:eastAsia="Times New Roman" w:hAnsi="Garamond" w:cs="Times New Roman"/>
          <w:color w:val="auto"/>
          <w:sz w:val="26"/>
          <w:szCs w:val="26"/>
          <w:lang w:eastAsia="nl-NL"/>
        </w:rPr>
        <w:t xml:space="preserve"> </w:t>
      </w:r>
      <w:r w:rsidRPr="003A7625">
        <w:rPr>
          <w:rFonts w:ascii="Garamond" w:eastAsia="Times New Roman" w:hAnsi="Garamond" w:cs="Times New Roman"/>
          <w:color w:val="auto"/>
          <w:sz w:val="26"/>
          <w:szCs w:val="26"/>
          <w:lang w:eastAsia="nl-NL"/>
        </w:rPr>
        <w:t>the concept of fiduciary duties and the Business Judgment Rule</w:t>
      </w:r>
      <w:r>
        <w:rPr>
          <w:rFonts w:ascii="Garamond" w:eastAsia="Times New Roman" w:hAnsi="Garamond" w:cs="Times New Roman"/>
          <w:color w:val="auto"/>
          <w:sz w:val="26"/>
          <w:szCs w:val="26"/>
          <w:lang w:eastAsia="nl-NL"/>
        </w:rPr>
        <w:t xml:space="preserve"> is not used as such, but </w:t>
      </w:r>
      <w:r w:rsidRPr="003A7625">
        <w:rPr>
          <w:rFonts w:ascii="Garamond" w:eastAsia="Times New Roman" w:hAnsi="Garamond" w:cs="Times New Roman"/>
          <w:color w:val="auto"/>
          <w:sz w:val="26"/>
          <w:szCs w:val="26"/>
          <w:lang w:eastAsia="nl-NL"/>
        </w:rPr>
        <w:t>managing and supervisory directors</w:t>
      </w:r>
      <w:r>
        <w:rPr>
          <w:rFonts w:ascii="Garamond" w:eastAsia="Times New Roman" w:hAnsi="Garamond" w:cs="Times New Roman"/>
          <w:color w:val="auto"/>
          <w:sz w:val="26"/>
          <w:szCs w:val="26"/>
          <w:lang w:eastAsia="nl-NL"/>
        </w:rPr>
        <w:t xml:space="preserve"> do have a legal duty </w:t>
      </w:r>
      <w:r w:rsidRPr="003A7625">
        <w:rPr>
          <w:rFonts w:ascii="Garamond" w:eastAsia="Times New Roman" w:hAnsi="Garamond" w:cs="Times New Roman"/>
          <w:color w:val="auto"/>
          <w:sz w:val="26"/>
          <w:szCs w:val="26"/>
          <w:lang w:eastAsia="nl-NL"/>
        </w:rPr>
        <w:t xml:space="preserve">to focus on the company’s interests and those of its affiliated enterprise in the performance of their duties. The interpretation of these interests depends on the specific circumstances of the case, as illustrated by the Dutch Supreme Court in the </w:t>
      </w:r>
      <w:r w:rsidRPr="003A7625">
        <w:rPr>
          <w:rFonts w:ascii="Garamond" w:eastAsia="Times New Roman" w:hAnsi="Garamond" w:cs="Times New Roman"/>
          <w:i/>
          <w:iCs/>
          <w:color w:val="auto"/>
          <w:sz w:val="26"/>
          <w:szCs w:val="26"/>
          <w:lang w:eastAsia="nl-NL"/>
        </w:rPr>
        <w:t>Cancun</w:t>
      </w:r>
      <w:r w:rsidRPr="003A7625">
        <w:rPr>
          <w:rFonts w:ascii="Garamond" w:eastAsia="Times New Roman" w:hAnsi="Garamond" w:cs="Times New Roman"/>
          <w:color w:val="auto"/>
          <w:sz w:val="26"/>
          <w:szCs w:val="26"/>
          <w:lang w:eastAsia="nl-NL"/>
        </w:rPr>
        <w:t xml:space="preserve"> decision</w:t>
      </w:r>
      <w:r>
        <w:rPr>
          <w:rStyle w:val="Voetnootmarkering"/>
          <w:rFonts w:ascii="Garamond" w:eastAsia="Times New Roman" w:hAnsi="Garamond" w:cs="Times New Roman"/>
          <w:color w:val="auto"/>
          <w:sz w:val="26"/>
          <w:szCs w:val="26"/>
          <w:lang w:eastAsia="nl-NL"/>
        </w:rPr>
        <w:footnoteReference w:id="9"/>
      </w:r>
      <w:r w:rsidRPr="003A7625">
        <w:rPr>
          <w:rFonts w:ascii="Garamond" w:eastAsia="Times New Roman" w:hAnsi="Garamond" w:cs="Times New Roman"/>
          <w:color w:val="auto"/>
          <w:sz w:val="26"/>
          <w:szCs w:val="26"/>
          <w:lang w:eastAsia="nl-NL"/>
        </w:rPr>
        <w:t>,</w:t>
      </w:r>
      <w:r w:rsidR="00414FE0" w:rsidRPr="003A7625">
        <w:rPr>
          <w:rFonts w:ascii="Garamond" w:eastAsia="Times New Roman" w:hAnsi="Garamond" w:cs="Times New Roman"/>
          <w:color w:val="auto"/>
          <w:sz w:val="26"/>
          <w:szCs w:val="26"/>
          <w:lang w:eastAsia="nl-NL"/>
        </w:rPr>
        <w:t xml:space="preserve"> which upheld management autonomy in closely-held companies. </w:t>
      </w:r>
    </w:p>
    <w:p w14:paraId="1D2EBEF3" w14:textId="6F469674" w:rsidR="00414FE0" w:rsidRPr="003A7625" w:rsidRDefault="009D565A"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9D565A">
        <w:rPr>
          <w:rFonts w:ascii="Garamond" w:eastAsia="Times New Roman" w:hAnsi="Garamond" w:cs="Times New Roman"/>
          <w:color w:val="auto"/>
          <w:sz w:val="26"/>
          <w:szCs w:val="26"/>
          <w:lang w:eastAsia="nl-NL"/>
        </w:rPr>
        <w:t xml:space="preserve">This means that in the Netherlands the duty of good governance is broader than just fulfilling the fiduciary duties of care and loyalty; good governance also focuses on the interests of the company and its stakeholders. In the Netherlands, a director can only be held liable if he </w:t>
      </w:r>
      <w:r>
        <w:rPr>
          <w:rFonts w:ascii="Garamond" w:eastAsia="Times New Roman" w:hAnsi="Garamond" w:cs="Times New Roman"/>
          <w:color w:val="auto"/>
          <w:sz w:val="26"/>
          <w:szCs w:val="26"/>
          <w:lang w:eastAsia="nl-NL"/>
        </w:rPr>
        <w:t>acts</w:t>
      </w:r>
      <w:r w:rsidRPr="009D565A">
        <w:rPr>
          <w:rFonts w:ascii="Garamond" w:eastAsia="Times New Roman" w:hAnsi="Garamond" w:cs="Times New Roman"/>
          <w:color w:val="auto"/>
          <w:sz w:val="26"/>
          <w:szCs w:val="26"/>
          <w:lang w:eastAsia="nl-NL"/>
        </w:rPr>
        <w:t xml:space="preserve"> seriously culpable (high threshold).</w:t>
      </w:r>
      <w:r>
        <w:rPr>
          <w:rFonts w:ascii="Garamond" w:eastAsia="Times New Roman" w:hAnsi="Garamond" w:cs="Times New Roman"/>
          <w:color w:val="auto"/>
          <w:sz w:val="26"/>
          <w:szCs w:val="26"/>
          <w:lang w:eastAsia="nl-NL"/>
        </w:rPr>
        <w:t xml:space="preserve"> Thus, with respect to director liability, Dutch and Delaware law can lead to different outcomes</w:t>
      </w:r>
      <w:r w:rsidR="00414FE0" w:rsidRPr="003A7625">
        <w:rPr>
          <w:rFonts w:ascii="Garamond" w:eastAsia="Times New Roman" w:hAnsi="Garamond" w:cs="Times New Roman"/>
          <w:color w:val="auto"/>
          <w:sz w:val="26"/>
          <w:szCs w:val="26"/>
          <w:lang w:eastAsia="nl-NL"/>
        </w:rPr>
        <w:t>.</w:t>
      </w:r>
      <w:r>
        <w:rPr>
          <w:rFonts w:ascii="Garamond" w:eastAsia="Times New Roman" w:hAnsi="Garamond" w:cs="Times New Roman"/>
          <w:color w:val="auto"/>
          <w:sz w:val="26"/>
          <w:szCs w:val="26"/>
          <w:lang w:eastAsia="nl-NL"/>
        </w:rPr>
        <w:t xml:space="preserve">   </w:t>
      </w:r>
    </w:p>
    <w:p w14:paraId="7496114A" w14:textId="77777777" w:rsidR="00414FE0" w:rsidRPr="003A7625" w:rsidRDefault="00414FE0"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3.4 Corporate Opportunity</w:t>
      </w:r>
    </w:p>
    <w:p w14:paraId="3C224775" w14:textId="77777777" w:rsidR="00414FE0" w:rsidRPr="003A7625" w:rsidRDefault="00414FE0"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Another key difference is the “Corporate Opportunity” doctrine. In Delaware, investors can waive this doctrine by including a provision in the company’s bylaws or through a board resolution. This waiver, known as a corporate opportunity waiver, can be applied conditionally. For Limited Liability Companies (LLCs), more flexible rules apply due to the contractual approach to this legal form under Delaware law.</w:t>
      </w:r>
    </w:p>
    <w:p w14:paraId="0A1C2BD9" w14:textId="77777777" w:rsidR="00414FE0" w:rsidRPr="003A7625" w:rsidRDefault="00414FE0"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However, under Dutch law, a director of a Dutch professional limited liability company cannot apply a general corporate opportunity waiver, as stipulated in Articles 2:8 and 2:9 of the Dutch Civil Code (DCC). In cases involving conflicts of interest, directors must ensure they act in the best interests of the company, while retaining the flexibility to make sound judgments. Although general corporate opportunity waivers are not possible in the Netherlands, Dutch corporate law still offers numerous opportunities for investors to establish their special contractual rights.</w:t>
      </w:r>
    </w:p>
    <w:p w14:paraId="75CADD39" w14:textId="77777777" w:rsidR="00414FE0" w:rsidRPr="003A7625" w:rsidRDefault="00414FE0"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color w:val="auto"/>
          <w:sz w:val="26"/>
          <w:szCs w:val="26"/>
          <w:lang w:eastAsia="nl-NL"/>
        </w:rPr>
        <w:t>There is an important distinction between the two systems: in Delaware, all contractual remedies (within the limits of the law) are available to investors to redistribute financial and control rights efficiently. In the Netherlands, however, the principles of reasonableness and fairness (Articles 6:248 and 2:8 DCC) can always play a limiting role. Reasonableness and fairness may impose additional obligations depending on the nature of the agreement and the specific circumstances, potentially limiting the agreements between the parties. While Article 6:248 DCC requires courts to exercise restraint in applying these principles, the variability in cases may lead to legal uncertainty and costs for investors.</w:t>
      </w:r>
    </w:p>
    <w:p w14:paraId="49B89A57" w14:textId="73825F14" w:rsidR="00414FE0" w:rsidRPr="003A7625" w:rsidRDefault="00414FE0" w:rsidP="00D8065C">
      <w:pPr>
        <w:spacing w:before="100" w:beforeAutospacing="1" w:after="100" w:afterAutospacing="1" w:line="240" w:lineRule="auto"/>
        <w:rPr>
          <w:rFonts w:ascii="Garamond" w:eastAsia="Times New Roman" w:hAnsi="Garamond" w:cs="Times New Roman"/>
          <w:color w:val="auto"/>
          <w:sz w:val="26"/>
          <w:szCs w:val="26"/>
          <w:lang w:eastAsia="nl-NL"/>
        </w:rPr>
      </w:pPr>
      <w:r w:rsidRPr="003A7625">
        <w:rPr>
          <w:rFonts w:ascii="Garamond" w:eastAsia="Times New Roman" w:hAnsi="Garamond" w:cs="Times New Roman"/>
          <w:b/>
          <w:bCs/>
          <w:color w:val="auto"/>
          <w:sz w:val="26"/>
          <w:szCs w:val="26"/>
          <w:lang w:eastAsia="nl-NL"/>
        </w:rPr>
        <w:t xml:space="preserve">§ 3.5 </w:t>
      </w:r>
      <w:r w:rsidR="00A91C1F">
        <w:rPr>
          <w:rFonts w:ascii="Garamond" w:eastAsia="Times New Roman" w:hAnsi="Garamond" w:cs="Times New Roman"/>
          <w:b/>
          <w:bCs/>
          <w:color w:val="auto"/>
          <w:sz w:val="26"/>
          <w:szCs w:val="26"/>
          <w:lang w:eastAsia="nl-NL"/>
        </w:rPr>
        <w:t>Legal Formalities</w:t>
      </w:r>
    </w:p>
    <w:p w14:paraId="4A05C809" w14:textId="35BC5558" w:rsidR="00414FE0" w:rsidRDefault="00CA4A23" w:rsidP="00414FE0">
      <w:pPr>
        <w:spacing w:before="100" w:beforeAutospacing="1" w:after="100" w:afterAutospacing="1" w:line="240" w:lineRule="auto"/>
        <w:rPr>
          <w:rFonts w:ascii="Garamond" w:eastAsia="Times New Roman" w:hAnsi="Garamond" w:cs="Times New Roman"/>
          <w:color w:val="auto"/>
          <w:sz w:val="26"/>
          <w:szCs w:val="26"/>
          <w:lang w:eastAsia="nl-NL"/>
        </w:rPr>
      </w:pPr>
      <w:r w:rsidRPr="00CA4A23">
        <w:rPr>
          <w:rFonts w:ascii="Garamond" w:eastAsia="Times New Roman" w:hAnsi="Garamond" w:cs="Times New Roman"/>
          <w:color w:val="auto"/>
          <w:sz w:val="26"/>
          <w:szCs w:val="26"/>
          <w:lang w:eastAsia="nl-NL"/>
        </w:rPr>
        <w:t xml:space="preserve">As mentioned earlier, both Delaware and Dutch corporate law offer flexibility and contractual freedom to agree on specific rights and obligations within corporations. </w:t>
      </w:r>
      <w:r w:rsidR="00A91C1F" w:rsidRPr="00A91C1F">
        <w:rPr>
          <w:rFonts w:ascii="Garamond" w:eastAsia="Times New Roman" w:hAnsi="Garamond" w:cs="Times New Roman"/>
          <w:color w:val="auto"/>
          <w:sz w:val="26"/>
          <w:szCs w:val="26"/>
          <w:lang w:eastAsia="nl-NL"/>
        </w:rPr>
        <w:t xml:space="preserve">One notable difference is that in the Netherlands, certain legal actions, such as incorporating a company, issuing </w:t>
      </w:r>
      <w:r w:rsidR="00A91C1F" w:rsidRPr="00A91C1F">
        <w:rPr>
          <w:rFonts w:ascii="Garamond" w:eastAsia="Times New Roman" w:hAnsi="Garamond" w:cs="Times New Roman"/>
          <w:color w:val="auto"/>
          <w:sz w:val="26"/>
          <w:szCs w:val="26"/>
          <w:lang w:eastAsia="nl-NL"/>
        </w:rPr>
        <w:lastRenderedPageBreak/>
        <w:t>shares, or making changes to the articles of association, must be notarized. This contrasts with the more flexible Delaware system</w:t>
      </w:r>
      <w:r w:rsidR="00414FE0" w:rsidRPr="003A7625">
        <w:rPr>
          <w:rFonts w:ascii="Garamond" w:eastAsia="Times New Roman" w:hAnsi="Garamond" w:cs="Times New Roman"/>
          <w:color w:val="auto"/>
          <w:sz w:val="26"/>
          <w:szCs w:val="26"/>
          <w:lang w:eastAsia="nl-NL"/>
        </w:rPr>
        <w:t>.</w:t>
      </w:r>
    </w:p>
    <w:p w14:paraId="6555A9B1" w14:textId="6AC0FCDD" w:rsidR="00B12536" w:rsidRDefault="00000000" w:rsidP="00D8065C">
      <w:pPr>
        <w:spacing w:before="100" w:beforeAutospacing="1" w:after="100" w:afterAutospacing="1" w:line="240" w:lineRule="auto"/>
        <w:rPr>
          <w:rFonts w:ascii="Garamond" w:eastAsia="Times New Roman" w:hAnsi="Garamond" w:cs="Times New Roman"/>
          <w:color w:val="auto"/>
          <w:sz w:val="26"/>
          <w:szCs w:val="26"/>
          <w:lang w:eastAsia="nl-NL"/>
        </w:rPr>
      </w:pPr>
      <w:r>
        <w:rPr>
          <w:rFonts w:ascii="Garamond" w:eastAsia="Times New Roman" w:hAnsi="Garamond" w:cs="Times New Roman"/>
          <w:color w:val="auto"/>
          <w:sz w:val="26"/>
          <w:szCs w:val="26"/>
          <w:lang w:eastAsia="nl-NL"/>
        </w:rPr>
        <w:pict w14:anchorId="1D08841D">
          <v:rect id="_x0000_i1027" style="width:0;height:1.5pt" o:hralign="center" o:hrstd="t" o:hr="t" fillcolor="#a0a0a0" stroked="f"/>
        </w:pict>
      </w:r>
    </w:p>
    <w:p w14:paraId="286CDFF8" w14:textId="7A0C0E44" w:rsidR="00414FE0" w:rsidRPr="003A7625" w:rsidRDefault="00B12536" w:rsidP="00414FE0">
      <w:pPr>
        <w:pStyle w:val="Normaalweb"/>
        <w:rPr>
          <w:rFonts w:ascii="Garamond" w:hAnsi="Garamond"/>
          <w:sz w:val="26"/>
          <w:szCs w:val="26"/>
        </w:rPr>
      </w:pPr>
      <w:r>
        <w:rPr>
          <w:rStyle w:val="Zwaar"/>
          <w:rFonts w:ascii="Garamond" w:hAnsi="Garamond"/>
          <w:sz w:val="26"/>
          <w:szCs w:val="26"/>
        </w:rPr>
        <w:t xml:space="preserve">4. </w:t>
      </w:r>
      <w:r w:rsidR="00414FE0" w:rsidRPr="003A7625">
        <w:rPr>
          <w:rStyle w:val="Zwaar"/>
          <w:rFonts w:ascii="Garamond" w:hAnsi="Garamond"/>
          <w:sz w:val="26"/>
          <w:szCs w:val="26"/>
        </w:rPr>
        <w:t xml:space="preserve">Conclusion and Practical Strategies for </w:t>
      </w:r>
      <w:r w:rsidR="00445E77">
        <w:rPr>
          <w:rStyle w:val="Zwaar"/>
          <w:rFonts w:ascii="Garamond" w:hAnsi="Garamond"/>
          <w:sz w:val="26"/>
          <w:szCs w:val="26"/>
        </w:rPr>
        <w:t xml:space="preserve">U.S. </w:t>
      </w:r>
      <w:r w:rsidR="00414FE0" w:rsidRPr="003A7625">
        <w:rPr>
          <w:rStyle w:val="Zwaar"/>
          <w:rFonts w:ascii="Garamond" w:hAnsi="Garamond"/>
          <w:sz w:val="26"/>
          <w:szCs w:val="26"/>
        </w:rPr>
        <w:t>Investors</w:t>
      </w:r>
    </w:p>
    <w:p w14:paraId="73D904E8" w14:textId="5CF8E10E" w:rsidR="00414FE0" w:rsidRPr="003A7625" w:rsidRDefault="00414FE0" w:rsidP="00414FE0">
      <w:pPr>
        <w:pStyle w:val="Normaalweb"/>
        <w:rPr>
          <w:rFonts w:ascii="Garamond" w:hAnsi="Garamond"/>
          <w:sz w:val="26"/>
          <w:szCs w:val="26"/>
        </w:rPr>
      </w:pPr>
      <w:r w:rsidRPr="003A7625">
        <w:rPr>
          <w:rFonts w:ascii="Garamond" w:hAnsi="Garamond"/>
          <w:sz w:val="26"/>
          <w:szCs w:val="26"/>
        </w:rPr>
        <w:t>In conclusion, Dutch corporate law plays a crucial role in minimizing agency and coordination problems between investors and business owners. Its structure promotes transparency, accountability and alignment of interests, which are essential for fostering investor confidence.</w:t>
      </w:r>
    </w:p>
    <w:p w14:paraId="3B3D468E" w14:textId="2D3CE977" w:rsidR="00414FE0" w:rsidRPr="003A7625" w:rsidRDefault="00414FE0" w:rsidP="00414FE0">
      <w:pPr>
        <w:pStyle w:val="Normaalweb"/>
        <w:rPr>
          <w:rFonts w:ascii="Garamond" w:hAnsi="Garamond"/>
          <w:sz w:val="26"/>
          <w:szCs w:val="26"/>
        </w:rPr>
      </w:pPr>
      <w:r w:rsidRPr="003A7625">
        <w:rPr>
          <w:rFonts w:ascii="Garamond" w:hAnsi="Garamond"/>
          <w:sz w:val="26"/>
          <w:szCs w:val="26"/>
        </w:rPr>
        <w:t>While some degree of uncertainty will always exist, it can be argued that, based on the principle of freedom of contract, the contractual rights of investors are generally enforceable under Dutch law. However, the ability of a</w:t>
      </w:r>
      <w:r w:rsidR="00CE2643">
        <w:rPr>
          <w:rFonts w:ascii="Garamond" w:hAnsi="Garamond"/>
          <w:sz w:val="26"/>
          <w:szCs w:val="26"/>
        </w:rPr>
        <w:t>n</w:t>
      </w:r>
      <w:r w:rsidRPr="003A7625">
        <w:rPr>
          <w:rFonts w:ascii="Garamond" w:hAnsi="Garamond"/>
          <w:sz w:val="26"/>
          <w:szCs w:val="26"/>
        </w:rPr>
        <w:t xml:space="preserve"> investor to use the company as leverage for their own benefit is significantly limited by the principle of management autonomy. Additionally, in certain circumstances, even investors must take into account the corporate interest in their decision-making.</w:t>
      </w:r>
      <w:r w:rsidR="00945229">
        <w:rPr>
          <w:rFonts w:ascii="Garamond" w:hAnsi="Garamond"/>
          <w:sz w:val="26"/>
          <w:szCs w:val="26"/>
        </w:rPr>
        <w:t xml:space="preserve"> </w:t>
      </w:r>
      <w:r w:rsidRPr="003A7625">
        <w:rPr>
          <w:rFonts w:ascii="Garamond" w:hAnsi="Garamond"/>
          <w:sz w:val="26"/>
          <w:szCs w:val="26"/>
        </w:rPr>
        <w:t xml:space="preserve">The special contractual rights that investors seek to negotiate require a high degree of contractual freedom. Although both Delaware and Dutch law offer this freedom, Dutch freedom of contract is subject to the principles of reasonableness and fairness, which may restrict the exercise of such rights. </w:t>
      </w:r>
    </w:p>
    <w:p w14:paraId="38C880AA" w14:textId="2F5CA395" w:rsidR="00414FE0" w:rsidRPr="003A7625" w:rsidRDefault="00414FE0" w:rsidP="00414FE0">
      <w:pPr>
        <w:pStyle w:val="Normaalweb"/>
        <w:rPr>
          <w:rFonts w:ascii="Garamond" w:hAnsi="Garamond"/>
          <w:sz w:val="26"/>
          <w:szCs w:val="26"/>
        </w:rPr>
      </w:pPr>
      <w:r w:rsidRPr="003A7625">
        <w:rPr>
          <w:rFonts w:ascii="Garamond" w:hAnsi="Garamond"/>
          <w:sz w:val="26"/>
          <w:szCs w:val="26"/>
        </w:rPr>
        <w:t xml:space="preserve">To mitigate the risk of opportunism by management and enhance value for investors, </w:t>
      </w:r>
      <w:r w:rsidR="00445E77" w:rsidRPr="00445E77">
        <w:rPr>
          <w:rFonts w:ascii="Garamond" w:hAnsi="Garamond"/>
          <w:sz w:val="26"/>
          <w:szCs w:val="26"/>
        </w:rPr>
        <w:t>U.S. investors should consider the following strategies</w:t>
      </w:r>
      <w:r w:rsidRPr="003A7625">
        <w:rPr>
          <w:rFonts w:ascii="Garamond" w:hAnsi="Garamond"/>
          <w:sz w:val="26"/>
          <w:szCs w:val="26"/>
        </w:rPr>
        <w:t>:</w:t>
      </w:r>
    </w:p>
    <w:p w14:paraId="7EFCD3BE" w14:textId="50430ABB" w:rsidR="00414FE0" w:rsidRPr="003A7625" w:rsidRDefault="00445E77" w:rsidP="00414FE0">
      <w:pPr>
        <w:pStyle w:val="Normaalweb"/>
        <w:numPr>
          <w:ilvl w:val="0"/>
          <w:numId w:val="9"/>
        </w:numPr>
        <w:rPr>
          <w:rFonts w:ascii="Garamond" w:hAnsi="Garamond"/>
          <w:sz w:val="26"/>
          <w:szCs w:val="26"/>
        </w:rPr>
      </w:pPr>
      <w:r>
        <w:rPr>
          <w:rStyle w:val="Zwaar"/>
          <w:rFonts w:ascii="Garamond" w:hAnsi="Garamond"/>
          <w:sz w:val="26"/>
          <w:szCs w:val="26"/>
        </w:rPr>
        <w:t>Leverage</w:t>
      </w:r>
      <w:r w:rsidR="00414FE0" w:rsidRPr="003A7625">
        <w:rPr>
          <w:rStyle w:val="Zwaar"/>
          <w:rFonts w:ascii="Garamond" w:hAnsi="Garamond"/>
          <w:sz w:val="26"/>
          <w:szCs w:val="26"/>
        </w:rPr>
        <w:t xml:space="preserve"> Legal Provisions:</w:t>
      </w:r>
      <w:r w:rsidR="00414FE0" w:rsidRPr="003A7625">
        <w:rPr>
          <w:rFonts w:ascii="Garamond" w:hAnsi="Garamond"/>
          <w:sz w:val="26"/>
          <w:szCs w:val="26"/>
        </w:rPr>
        <w:t xml:space="preserve"> The Dutch Civil Code allows for the inclusion of a statutory right of instruction, which requires the board to follow directives from another corporate body, such as the general meeting of shareholders or the meeting of holders of shares in a particular class or designation. These instructions can be ignored only if they conflict with the interests of the company and its affiliated enterprise.</w:t>
      </w:r>
      <w:r w:rsidR="0023401F" w:rsidRPr="0023401F">
        <w:rPr>
          <w:rFonts w:asciiTheme="minorHAnsi" w:eastAsiaTheme="minorHAnsi" w:hAnsiTheme="minorHAnsi" w:cstheme="minorBidi"/>
          <w:kern w:val="2"/>
          <w:sz w:val="22"/>
          <w:szCs w:val="22"/>
          <w:lang w:eastAsia="en-US"/>
          <w14:ligatures w14:val="standardContextual"/>
        </w:rPr>
        <w:t xml:space="preserve"> </w:t>
      </w:r>
      <w:r w:rsidR="0023401F" w:rsidRPr="00945229">
        <w:rPr>
          <w:rFonts w:ascii="Garamond" w:eastAsiaTheme="minorHAnsi" w:hAnsi="Garamond" w:cstheme="minorBidi"/>
          <w:kern w:val="2"/>
          <w:sz w:val="26"/>
          <w:szCs w:val="26"/>
          <w:lang w:eastAsia="en-US"/>
          <w14:ligatures w14:val="standardContextual"/>
        </w:rPr>
        <w:t>So m</w:t>
      </w:r>
      <w:r w:rsidR="0023401F" w:rsidRPr="00945229">
        <w:rPr>
          <w:rFonts w:ascii="Garamond" w:hAnsi="Garamond"/>
          <w:sz w:val="26"/>
          <w:szCs w:val="26"/>
        </w:rPr>
        <w:t>ake</w:t>
      </w:r>
      <w:r w:rsidR="0023401F" w:rsidRPr="0023401F">
        <w:rPr>
          <w:rFonts w:ascii="Garamond" w:hAnsi="Garamond"/>
          <w:sz w:val="26"/>
          <w:szCs w:val="26"/>
        </w:rPr>
        <w:t xml:space="preserve"> use of the Dutch Civil Code to include specific rights of instruction, requiring the board to follow directives from shareholders or a designated group of stakeholders</w:t>
      </w:r>
      <w:r>
        <w:rPr>
          <w:rFonts w:ascii="Garamond" w:hAnsi="Garamond"/>
          <w:sz w:val="26"/>
          <w:szCs w:val="26"/>
        </w:rPr>
        <w:t>.</w:t>
      </w:r>
      <w:r w:rsidRPr="003A7625">
        <w:rPr>
          <w:rFonts w:ascii="Garamond" w:hAnsi="Garamond"/>
          <w:sz w:val="26"/>
          <w:szCs w:val="26"/>
        </w:rPr>
        <w:t xml:space="preserve"> </w:t>
      </w:r>
      <w:r w:rsidR="00414FE0" w:rsidRPr="003A7625">
        <w:rPr>
          <w:rFonts w:ascii="Garamond" w:hAnsi="Garamond"/>
          <w:sz w:val="26"/>
          <w:szCs w:val="26"/>
        </w:rPr>
        <w:t>Custom-made agreements in shareholders' agreements and tailored provisions in bylaws can be effective tools for leveraging investors’ rights to vote and influence key decisions, helping align interests and clarify expectations.</w:t>
      </w:r>
      <w:r w:rsidRPr="00445E77">
        <w:rPr>
          <w:rFonts w:ascii="Garamond" w:hAnsi="Garamond"/>
          <w:sz w:val="26"/>
          <w:szCs w:val="26"/>
        </w:rPr>
        <w:t xml:space="preserve"> </w:t>
      </w:r>
    </w:p>
    <w:p w14:paraId="445425FF" w14:textId="6F2FABFA" w:rsidR="00414FE0" w:rsidRPr="003A7625" w:rsidRDefault="00414FE0" w:rsidP="00414FE0">
      <w:pPr>
        <w:pStyle w:val="Normaalweb"/>
        <w:numPr>
          <w:ilvl w:val="0"/>
          <w:numId w:val="9"/>
        </w:numPr>
        <w:rPr>
          <w:rFonts w:ascii="Garamond" w:hAnsi="Garamond"/>
          <w:sz w:val="26"/>
          <w:szCs w:val="26"/>
        </w:rPr>
      </w:pPr>
      <w:r w:rsidRPr="003A7625">
        <w:rPr>
          <w:rStyle w:val="Zwaar"/>
          <w:rFonts w:ascii="Garamond" w:hAnsi="Garamond"/>
          <w:sz w:val="26"/>
          <w:szCs w:val="26"/>
        </w:rPr>
        <w:t>Monitor Governance Structures:</w:t>
      </w:r>
      <w:r w:rsidRPr="003A7625">
        <w:rPr>
          <w:rFonts w:ascii="Garamond" w:hAnsi="Garamond"/>
          <w:sz w:val="26"/>
          <w:szCs w:val="26"/>
        </w:rPr>
        <w:t xml:space="preserve"> </w:t>
      </w:r>
      <w:r w:rsidR="0023401F" w:rsidRPr="0023401F">
        <w:rPr>
          <w:rFonts w:ascii="Garamond" w:hAnsi="Garamond"/>
          <w:sz w:val="26"/>
          <w:szCs w:val="26"/>
        </w:rPr>
        <w:t>Stay actively involved in both the management and supervisory boards to keep a close eye on the company</w:t>
      </w:r>
      <w:r w:rsidR="0023401F">
        <w:rPr>
          <w:rFonts w:ascii="Garamond" w:hAnsi="Garamond"/>
          <w:sz w:val="26"/>
          <w:szCs w:val="26"/>
        </w:rPr>
        <w:t>’</w:t>
      </w:r>
      <w:r w:rsidR="0023401F" w:rsidRPr="0023401F">
        <w:rPr>
          <w:rFonts w:ascii="Garamond" w:hAnsi="Garamond"/>
          <w:sz w:val="26"/>
          <w:szCs w:val="26"/>
        </w:rPr>
        <w:t>s operations</w:t>
      </w:r>
      <w:r w:rsidR="0023401F">
        <w:rPr>
          <w:rFonts w:ascii="Garamond" w:hAnsi="Garamond"/>
          <w:sz w:val="26"/>
          <w:szCs w:val="26"/>
        </w:rPr>
        <w:t>.</w:t>
      </w:r>
      <w:r w:rsidR="0023401F" w:rsidRPr="0023401F">
        <w:rPr>
          <w:rFonts w:ascii="Garamond" w:hAnsi="Garamond"/>
          <w:sz w:val="26"/>
          <w:szCs w:val="26"/>
        </w:rPr>
        <w:t xml:space="preserve"> </w:t>
      </w:r>
      <w:r w:rsidRPr="003A7625">
        <w:rPr>
          <w:rFonts w:ascii="Garamond" w:hAnsi="Garamond"/>
          <w:sz w:val="26"/>
          <w:szCs w:val="26"/>
        </w:rPr>
        <w:t>Engaging with supervisory board members can provide valuable insights into management practices and the company’s overall strategy.</w:t>
      </w:r>
    </w:p>
    <w:p w14:paraId="6B4278C8" w14:textId="04DD72E4" w:rsidR="00414FE0" w:rsidRPr="003A7625" w:rsidRDefault="00445E77" w:rsidP="00414FE0">
      <w:pPr>
        <w:pStyle w:val="Normaalweb"/>
        <w:numPr>
          <w:ilvl w:val="0"/>
          <w:numId w:val="9"/>
        </w:numPr>
        <w:rPr>
          <w:rFonts w:ascii="Garamond" w:hAnsi="Garamond"/>
          <w:sz w:val="26"/>
          <w:szCs w:val="26"/>
        </w:rPr>
      </w:pPr>
      <w:r>
        <w:rPr>
          <w:rStyle w:val="Zwaar"/>
          <w:rFonts w:ascii="Garamond" w:hAnsi="Garamond"/>
          <w:sz w:val="26"/>
          <w:szCs w:val="26"/>
        </w:rPr>
        <w:t>Push</w:t>
      </w:r>
      <w:r w:rsidR="00414FE0" w:rsidRPr="003A7625">
        <w:rPr>
          <w:rStyle w:val="Zwaar"/>
          <w:rFonts w:ascii="Garamond" w:hAnsi="Garamond"/>
          <w:sz w:val="26"/>
          <w:szCs w:val="26"/>
        </w:rPr>
        <w:t xml:space="preserve"> for Clear Policies:</w:t>
      </w:r>
      <w:r w:rsidR="00414FE0" w:rsidRPr="003A7625">
        <w:rPr>
          <w:rFonts w:ascii="Garamond" w:hAnsi="Garamond"/>
          <w:sz w:val="26"/>
          <w:szCs w:val="26"/>
        </w:rPr>
        <w:t xml:space="preserve"> Investors can promote clear policies regarding stakeholder engagement and corporate responsibility. By encouraging transparency and accountability, investors can ensure that strategic decisions align with their interests.</w:t>
      </w:r>
    </w:p>
    <w:p w14:paraId="702085FE" w14:textId="6FAEF3C5" w:rsidR="00414FE0" w:rsidRPr="003A7625" w:rsidRDefault="00414FE0" w:rsidP="00414FE0">
      <w:pPr>
        <w:pStyle w:val="Normaalweb"/>
        <w:numPr>
          <w:ilvl w:val="0"/>
          <w:numId w:val="9"/>
        </w:numPr>
        <w:rPr>
          <w:rFonts w:ascii="Garamond" w:hAnsi="Garamond"/>
          <w:sz w:val="26"/>
          <w:szCs w:val="26"/>
        </w:rPr>
      </w:pPr>
      <w:r w:rsidRPr="003A7625">
        <w:rPr>
          <w:rStyle w:val="Zwaar"/>
          <w:rFonts w:ascii="Garamond" w:hAnsi="Garamond"/>
          <w:sz w:val="26"/>
          <w:szCs w:val="26"/>
        </w:rPr>
        <w:t>Collaborat</w:t>
      </w:r>
      <w:r w:rsidR="00445E77">
        <w:rPr>
          <w:rStyle w:val="Zwaar"/>
          <w:rFonts w:ascii="Garamond" w:hAnsi="Garamond"/>
          <w:sz w:val="26"/>
          <w:szCs w:val="26"/>
        </w:rPr>
        <w:t>e with other investors</w:t>
      </w:r>
      <w:r w:rsidRPr="003A7625">
        <w:rPr>
          <w:rStyle w:val="Zwaar"/>
          <w:rFonts w:ascii="Garamond" w:hAnsi="Garamond"/>
          <w:sz w:val="26"/>
          <w:szCs w:val="26"/>
        </w:rPr>
        <w:t>:</w:t>
      </w:r>
      <w:r w:rsidRPr="003A7625">
        <w:rPr>
          <w:rFonts w:ascii="Garamond" w:hAnsi="Garamond"/>
          <w:sz w:val="26"/>
          <w:szCs w:val="26"/>
        </w:rPr>
        <w:t xml:space="preserve"> Form alliances with </w:t>
      </w:r>
      <w:r w:rsidR="00445E77">
        <w:rPr>
          <w:rFonts w:ascii="Garamond" w:hAnsi="Garamond"/>
          <w:sz w:val="26"/>
          <w:szCs w:val="26"/>
        </w:rPr>
        <w:t>fellow</w:t>
      </w:r>
      <w:r w:rsidRPr="003A7625">
        <w:rPr>
          <w:rFonts w:ascii="Garamond" w:hAnsi="Garamond"/>
          <w:sz w:val="26"/>
          <w:szCs w:val="26"/>
        </w:rPr>
        <w:t xml:space="preserve"> investors </w:t>
      </w:r>
      <w:r w:rsidR="00445E77">
        <w:rPr>
          <w:rFonts w:ascii="Garamond" w:hAnsi="Garamond"/>
          <w:sz w:val="26"/>
          <w:szCs w:val="26"/>
        </w:rPr>
        <w:t>to</w:t>
      </w:r>
      <w:r w:rsidRPr="003A7625">
        <w:rPr>
          <w:rFonts w:ascii="Garamond" w:hAnsi="Garamond"/>
          <w:sz w:val="26"/>
          <w:szCs w:val="26"/>
        </w:rPr>
        <w:t xml:space="preserve"> increase bargaining power and </w:t>
      </w:r>
      <w:r w:rsidR="00445E77" w:rsidRPr="00445E77">
        <w:rPr>
          <w:rFonts w:ascii="Garamond" w:hAnsi="Garamond"/>
          <w:sz w:val="26"/>
          <w:szCs w:val="26"/>
        </w:rPr>
        <w:t>streamline decision-making processes</w:t>
      </w:r>
      <w:r w:rsidRPr="003A7625">
        <w:rPr>
          <w:rFonts w:ascii="Garamond" w:hAnsi="Garamond"/>
          <w:sz w:val="26"/>
          <w:szCs w:val="26"/>
        </w:rPr>
        <w:t>.</w:t>
      </w:r>
    </w:p>
    <w:p w14:paraId="6628E15B" w14:textId="68F44F59" w:rsidR="00121410" w:rsidRDefault="00414FE0" w:rsidP="00566C8D">
      <w:pPr>
        <w:pStyle w:val="Normaalweb"/>
        <w:rPr>
          <w:rFonts w:ascii="Garamond" w:hAnsi="Garamond"/>
          <w:b/>
          <w:i/>
          <w:sz w:val="26"/>
          <w:szCs w:val="26"/>
        </w:rPr>
      </w:pPr>
      <w:r w:rsidRPr="003A7625">
        <w:rPr>
          <w:rFonts w:ascii="Garamond" w:hAnsi="Garamond"/>
          <w:sz w:val="26"/>
          <w:szCs w:val="26"/>
        </w:rPr>
        <w:t xml:space="preserve">By adopting these strategies, </w:t>
      </w:r>
      <w:r w:rsidR="00445E77">
        <w:rPr>
          <w:rFonts w:ascii="Garamond" w:hAnsi="Garamond"/>
          <w:sz w:val="26"/>
          <w:szCs w:val="26"/>
        </w:rPr>
        <w:t>U.S.</w:t>
      </w:r>
      <w:r w:rsidRPr="003A7625">
        <w:rPr>
          <w:rFonts w:ascii="Garamond" w:hAnsi="Garamond"/>
          <w:sz w:val="26"/>
          <w:szCs w:val="26"/>
        </w:rPr>
        <w:t xml:space="preserve"> investors can </w:t>
      </w:r>
      <w:r w:rsidR="00445E77">
        <w:rPr>
          <w:rFonts w:ascii="Garamond" w:hAnsi="Garamond"/>
          <w:sz w:val="26"/>
          <w:szCs w:val="26"/>
        </w:rPr>
        <w:t xml:space="preserve">effectively </w:t>
      </w:r>
      <w:r w:rsidRPr="003A7625">
        <w:rPr>
          <w:rFonts w:ascii="Garamond" w:hAnsi="Garamond"/>
          <w:sz w:val="26"/>
          <w:szCs w:val="26"/>
        </w:rPr>
        <w:t xml:space="preserve">navigate the complexities of Dutch corporate law, </w:t>
      </w:r>
      <w:r w:rsidR="00445E77" w:rsidRPr="00445E77">
        <w:rPr>
          <w:rFonts w:ascii="Garamond" w:hAnsi="Garamond"/>
          <w:sz w:val="26"/>
          <w:szCs w:val="26"/>
        </w:rPr>
        <w:t>minimize risks and enhance value. With the right legal support, your investment in a Dutch company can lead to sustainable, long-term growth</w:t>
      </w:r>
      <w:r w:rsidRPr="003A7625">
        <w:rPr>
          <w:rFonts w:ascii="Garamond" w:hAnsi="Garamond"/>
          <w:sz w:val="26"/>
          <w:szCs w:val="26"/>
        </w:rPr>
        <w:t>.</w:t>
      </w:r>
    </w:p>
    <w:p w14:paraId="433A9175" w14:textId="77777777" w:rsidR="00566C8D" w:rsidRDefault="00566C8D" w:rsidP="004B7E44">
      <w:pPr>
        <w:pStyle w:val="Kop3"/>
        <w:rPr>
          <w:rFonts w:ascii="Garamond" w:hAnsi="Garamond"/>
          <w:b/>
          <w:i w:val="0"/>
          <w:sz w:val="26"/>
          <w:szCs w:val="26"/>
        </w:rPr>
      </w:pPr>
    </w:p>
    <w:p w14:paraId="091AAF0E" w14:textId="77777777" w:rsidR="00566C8D" w:rsidRDefault="00566C8D" w:rsidP="004B7E44">
      <w:pPr>
        <w:pStyle w:val="Kop3"/>
        <w:rPr>
          <w:rFonts w:ascii="Garamond" w:hAnsi="Garamond"/>
          <w:b/>
          <w:i w:val="0"/>
          <w:sz w:val="26"/>
          <w:szCs w:val="26"/>
        </w:rPr>
      </w:pPr>
    </w:p>
    <w:p w14:paraId="2B723838" w14:textId="77777777" w:rsidR="008C0537" w:rsidRDefault="008C0537" w:rsidP="004B7E44">
      <w:pPr>
        <w:pStyle w:val="Kop3"/>
        <w:rPr>
          <w:rFonts w:ascii="Garamond" w:hAnsi="Garamond"/>
          <w:b/>
          <w:i w:val="0"/>
          <w:sz w:val="26"/>
          <w:szCs w:val="26"/>
        </w:rPr>
      </w:pPr>
    </w:p>
    <w:p w14:paraId="3068D403" w14:textId="28F44D83" w:rsidR="00DA62F1" w:rsidRPr="00566C8D" w:rsidRDefault="00566C8D" w:rsidP="004B7E44">
      <w:pPr>
        <w:pStyle w:val="Kop3"/>
        <w:rPr>
          <w:rFonts w:ascii="Garamond" w:hAnsi="Garamond"/>
          <w:bCs/>
          <w:i w:val="0"/>
          <w:sz w:val="20"/>
          <w:szCs w:val="20"/>
        </w:rPr>
      </w:pPr>
      <w:r w:rsidRPr="00566C8D">
        <w:rPr>
          <w:rFonts w:ascii="Garamond" w:hAnsi="Garamond"/>
          <w:bCs/>
          <w:i w:val="0"/>
          <w:sz w:val="20"/>
          <w:szCs w:val="20"/>
        </w:rPr>
        <w:t>Notes:</w:t>
      </w:r>
    </w:p>
    <w:p w14:paraId="770C1B13" w14:textId="4FAAD030" w:rsidR="00DA62F1" w:rsidRPr="00566C8D" w:rsidRDefault="00DA62F1" w:rsidP="004B7E44">
      <w:pPr>
        <w:pStyle w:val="Kop3"/>
        <w:rPr>
          <w:rFonts w:ascii="Garamond" w:hAnsi="Garamond"/>
          <w:bCs/>
          <w:i w:val="0"/>
          <w:sz w:val="20"/>
          <w:szCs w:val="20"/>
        </w:rPr>
      </w:pPr>
      <w:r w:rsidRPr="00566C8D">
        <w:rPr>
          <w:rFonts w:ascii="Garamond" w:hAnsi="Garamond"/>
          <w:bCs/>
          <w:i w:val="0"/>
          <w:sz w:val="20"/>
          <w:szCs w:val="20"/>
          <w:vertAlign w:val="superscript"/>
        </w:rPr>
        <w:footnoteRef/>
      </w:r>
      <w:r w:rsidRPr="00566C8D">
        <w:rPr>
          <w:rFonts w:ascii="Garamond" w:hAnsi="Garamond"/>
          <w:bCs/>
          <w:i w:val="0"/>
          <w:sz w:val="20"/>
          <w:szCs w:val="20"/>
        </w:rPr>
        <w:t xml:space="preserve"> For the comparison between U.S. rules, standards and default privisions and the Dutch equivalent thereof and differences I chose Delaware law.</w:t>
      </w:r>
    </w:p>
    <w:p w14:paraId="45BCCCCC" w14:textId="1DE4B983" w:rsidR="00DA62F1" w:rsidRPr="00566C8D" w:rsidRDefault="00DA62F1" w:rsidP="004B7E44">
      <w:pPr>
        <w:pStyle w:val="Kop3"/>
        <w:rPr>
          <w:rFonts w:ascii="Garamond" w:hAnsi="Garamond"/>
          <w:bCs/>
          <w:i w:val="0"/>
          <w:sz w:val="20"/>
          <w:szCs w:val="20"/>
        </w:rPr>
      </w:pPr>
      <w:r w:rsidRPr="00566C8D">
        <w:rPr>
          <w:rFonts w:ascii="Garamond" w:hAnsi="Garamond"/>
          <w:bCs/>
          <w:i w:val="0"/>
          <w:sz w:val="20"/>
          <w:szCs w:val="20"/>
          <w:vertAlign w:val="superscript"/>
        </w:rPr>
        <w:t>2</w:t>
      </w:r>
      <w:r w:rsidRPr="00566C8D">
        <w:rPr>
          <w:rFonts w:ascii="Garamond" w:hAnsi="Garamond"/>
          <w:bCs/>
          <w:i w:val="0"/>
          <w:sz w:val="20"/>
          <w:szCs w:val="20"/>
        </w:rPr>
        <w:t xml:space="preserve"> A full-ratchet clause grants the owners of preferred shares the right to convert at the lowest available price. A weigthed-average clause adjust the conversion price of convertible securities based on a weighted average formula that takes into account both the old and new shares and their respective prices. The adjustment ensures that the conversion price is lowered but not to the extent of the new issuance price.</w:t>
      </w:r>
    </w:p>
    <w:p w14:paraId="20A4882F" w14:textId="6C9B11AE" w:rsidR="00DA62F1" w:rsidRPr="00566C8D" w:rsidRDefault="00DA62F1" w:rsidP="004B7E44">
      <w:pPr>
        <w:pStyle w:val="Kop3"/>
        <w:rPr>
          <w:rFonts w:ascii="Garamond" w:hAnsi="Garamond"/>
          <w:bCs/>
          <w:i w:val="0"/>
          <w:sz w:val="20"/>
          <w:szCs w:val="20"/>
        </w:rPr>
      </w:pPr>
      <w:r w:rsidRPr="00566C8D">
        <w:rPr>
          <w:rFonts w:ascii="Garamond" w:hAnsi="Garamond"/>
          <w:bCs/>
          <w:i w:val="0"/>
          <w:sz w:val="20"/>
          <w:szCs w:val="20"/>
          <w:vertAlign w:val="superscript"/>
        </w:rPr>
        <w:t>3</w:t>
      </w:r>
      <w:r w:rsidRPr="00566C8D">
        <w:rPr>
          <w:rFonts w:ascii="Garamond" w:hAnsi="Garamond"/>
          <w:bCs/>
          <w:i w:val="0"/>
          <w:sz w:val="20"/>
          <w:szCs w:val="20"/>
        </w:rPr>
        <w:t xml:space="preserve"> Broad-based weighted averages include a wider range of stock when calculating a conversion price. This includes all fully diluted and outstanding common stock. A narrow-based weighted average doesn't include fully diluted share capital in its calculations. Therefore, for instance, employee share options would be included in a broad-based weighted average but excluded from a narrow-based calculation. Generally speaking, the narrow-based formula works in favour of the holders of preferred stock (i.e., investors) and usually dilutes existing common stockholders to a greater extent.</w:t>
      </w:r>
    </w:p>
    <w:p w14:paraId="575F06CB" w14:textId="07C5AABA" w:rsidR="00DA62F1" w:rsidRPr="00566C8D" w:rsidRDefault="00DA62F1" w:rsidP="004B7E44">
      <w:pPr>
        <w:pStyle w:val="Kop3"/>
        <w:rPr>
          <w:rFonts w:ascii="Garamond" w:hAnsi="Garamond"/>
          <w:bCs/>
          <w:i w:val="0"/>
          <w:sz w:val="20"/>
          <w:szCs w:val="20"/>
        </w:rPr>
      </w:pPr>
      <w:r w:rsidRPr="00566C8D">
        <w:rPr>
          <w:rFonts w:ascii="Garamond" w:hAnsi="Garamond"/>
          <w:bCs/>
          <w:i w:val="0"/>
          <w:sz w:val="20"/>
          <w:szCs w:val="20"/>
          <w:vertAlign w:val="superscript"/>
        </w:rPr>
        <w:t>4</w:t>
      </w:r>
      <w:r w:rsidRPr="00566C8D">
        <w:rPr>
          <w:rFonts w:ascii="Garamond" w:hAnsi="Garamond"/>
          <w:bCs/>
          <w:i w:val="0"/>
          <w:sz w:val="20"/>
          <w:szCs w:val="20"/>
        </w:rPr>
        <w:t xml:space="preserve"> A right of existing shareholders in a corporation to purchase newly issued stock before it is offered to others in order to maintain their proportionate ownership in the company, even if new shares are issued.</w:t>
      </w:r>
    </w:p>
    <w:p w14:paraId="22F79E16" w14:textId="40696630" w:rsidR="00DA62F1" w:rsidRDefault="00DA62F1" w:rsidP="004B7E44">
      <w:pPr>
        <w:pStyle w:val="Kop3"/>
        <w:rPr>
          <w:rFonts w:ascii="Garamond" w:hAnsi="Garamond"/>
          <w:bCs/>
          <w:i w:val="0"/>
          <w:sz w:val="20"/>
          <w:szCs w:val="20"/>
        </w:rPr>
      </w:pPr>
      <w:r w:rsidRPr="00566C8D">
        <w:rPr>
          <w:rFonts w:ascii="Garamond" w:hAnsi="Garamond"/>
          <w:bCs/>
          <w:i w:val="0"/>
          <w:sz w:val="20"/>
          <w:szCs w:val="20"/>
          <w:vertAlign w:val="superscript"/>
        </w:rPr>
        <w:t>5</w:t>
      </w:r>
      <w:r w:rsidRPr="00566C8D">
        <w:rPr>
          <w:rFonts w:ascii="Garamond" w:hAnsi="Garamond"/>
          <w:bCs/>
          <w:i w:val="0"/>
          <w:sz w:val="20"/>
          <w:szCs w:val="20"/>
        </w:rPr>
        <w:t xml:space="preserve"> </w:t>
      </w:r>
      <w:bookmarkStart w:id="3" w:name="_Hlk180524892"/>
      <w:r w:rsidRPr="00566C8D">
        <w:rPr>
          <w:rFonts w:ascii="Garamond" w:hAnsi="Garamond"/>
          <w:bCs/>
          <w:i w:val="0"/>
          <w:sz w:val="20"/>
          <w:szCs w:val="20"/>
        </w:rPr>
        <w:t>McRitchie v. Zuckerberg,</w:t>
      </w:r>
      <w:r w:rsidR="00CA4A23">
        <w:rPr>
          <w:rFonts w:ascii="Garamond" w:hAnsi="Garamond"/>
          <w:bCs/>
          <w:i w:val="0"/>
          <w:sz w:val="20"/>
          <w:szCs w:val="20"/>
        </w:rPr>
        <w:t xml:space="preserve"> </w:t>
      </w:r>
      <w:r w:rsidRPr="00566C8D">
        <w:rPr>
          <w:rFonts w:ascii="Garamond" w:hAnsi="Garamond"/>
          <w:bCs/>
          <w:i w:val="0"/>
          <w:sz w:val="20"/>
          <w:szCs w:val="20"/>
        </w:rPr>
        <w:t>C.A. No. 2022-0890-JTL (Del. Ch. 2024):</w:t>
      </w:r>
      <w:r w:rsidR="00CA4A23">
        <w:rPr>
          <w:rFonts w:ascii="Garamond" w:hAnsi="Garamond"/>
          <w:bCs/>
          <w:i w:val="0"/>
          <w:sz w:val="20"/>
          <w:szCs w:val="20"/>
        </w:rPr>
        <w:t xml:space="preserve"> </w:t>
      </w:r>
      <w:hyperlink r:id="rId10" w:history="1">
        <w:r w:rsidRPr="00566C8D">
          <w:rPr>
            <w:rStyle w:val="Hyperlink"/>
            <w:rFonts w:ascii="Garamond" w:hAnsi="Garamond"/>
            <w:bCs/>
            <w:i w:val="0"/>
            <w:sz w:val="20"/>
            <w:szCs w:val="20"/>
          </w:rPr>
          <w:t>https://courts.delaware.gov/Opinions/Download.aspx?id=363410</w:t>
        </w:r>
      </w:hyperlink>
      <w:bookmarkEnd w:id="3"/>
    </w:p>
    <w:p w14:paraId="312AED94" w14:textId="05914AD5" w:rsidR="00BA649D" w:rsidRPr="00566C8D" w:rsidRDefault="00BA649D" w:rsidP="004B7E44">
      <w:pPr>
        <w:pStyle w:val="Kop3"/>
        <w:rPr>
          <w:rFonts w:ascii="Garamond" w:hAnsi="Garamond"/>
          <w:bCs/>
          <w:i w:val="0"/>
          <w:sz w:val="20"/>
          <w:szCs w:val="20"/>
        </w:rPr>
      </w:pPr>
      <w:r>
        <w:rPr>
          <w:rFonts w:ascii="Garamond" w:hAnsi="Garamond"/>
          <w:bCs/>
          <w:i w:val="0"/>
          <w:sz w:val="20"/>
          <w:szCs w:val="20"/>
          <w:vertAlign w:val="superscript"/>
        </w:rPr>
        <w:t>6</w:t>
      </w:r>
      <w:r w:rsidRPr="00BA649D">
        <w:rPr>
          <w:rFonts w:ascii="Garamond" w:hAnsi="Garamond"/>
          <w:bCs/>
          <w:i w:val="0"/>
          <w:sz w:val="20"/>
          <w:szCs w:val="20"/>
        </w:rPr>
        <w:t xml:space="preserve"> McRitchie v. Zuckerberg, C.A. No. 2022-0890-JTL (Del. Ch. 2024): </w:t>
      </w:r>
      <w:hyperlink r:id="rId11" w:history="1">
        <w:r w:rsidRPr="00BA649D">
          <w:rPr>
            <w:rStyle w:val="Hyperlink"/>
            <w:rFonts w:ascii="Garamond" w:hAnsi="Garamond"/>
            <w:bCs/>
            <w:i w:val="0"/>
            <w:sz w:val="20"/>
            <w:szCs w:val="20"/>
          </w:rPr>
          <w:t>https://courts.delaware.gov/Opinions/Download.aspx?id=363410</w:t>
        </w:r>
      </w:hyperlink>
    </w:p>
    <w:p w14:paraId="3F18DA1C" w14:textId="753284B5" w:rsidR="00DA62F1" w:rsidRPr="00566C8D" w:rsidRDefault="00BA649D" w:rsidP="004B7E44">
      <w:pPr>
        <w:pStyle w:val="Kop3"/>
        <w:rPr>
          <w:rFonts w:ascii="Garamond" w:hAnsi="Garamond"/>
          <w:bCs/>
          <w:i w:val="0"/>
          <w:sz w:val="20"/>
          <w:szCs w:val="20"/>
        </w:rPr>
      </w:pPr>
      <w:r>
        <w:rPr>
          <w:rFonts w:ascii="Garamond" w:hAnsi="Garamond"/>
          <w:bCs/>
          <w:i w:val="0"/>
          <w:sz w:val="20"/>
          <w:szCs w:val="20"/>
          <w:vertAlign w:val="superscript"/>
        </w:rPr>
        <w:t>7</w:t>
      </w:r>
      <w:r w:rsidR="00DA62F1" w:rsidRPr="00566C8D">
        <w:rPr>
          <w:rFonts w:ascii="Garamond" w:hAnsi="Garamond"/>
          <w:bCs/>
          <w:i w:val="0"/>
          <w:sz w:val="20"/>
          <w:szCs w:val="20"/>
        </w:rPr>
        <w:t xml:space="preserve"> HR 13 juli 2007, NJ 2007/434 (ABN Amro), r.o. 4.5 and HR 9 juli 2010, NJ 2010/544 (ASMI), r.o. 4.4.1</w:t>
      </w:r>
    </w:p>
    <w:p w14:paraId="5489D468" w14:textId="3765C7CE" w:rsidR="00DA62F1" w:rsidRPr="00566C8D" w:rsidRDefault="00BA649D" w:rsidP="004B7E44">
      <w:pPr>
        <w:pStyle w:val="Kop3"/>
        <w:rPr>
          <w:rFonts w:ascii="Garamond" w:hAnsi="Garamond"/>
          <w:bCs/>
          <w:i w:val="0"/>
          <w:sz w:val="20"/>
          <w:szCs w:val="20"/>
        </w:rPr>
      </w:pPr>
      <w:r>
        <w:rPr>
          <w:rFonts w:ascii="Garamond" w:hAnsi="Garamond"/>
          <w:bCs/>
          <w:i w:val="0"/>
          <w:sz w:val="20"/>
          <w:szCs w:val="20"/>
          <w:vertAlign w:val="superscript"/>
        </w:rPr>
        <w:t>8</w:t>
      </w:r>
      <w:r w:rsidR="00566C8D" w:rsidRPr="00566C8D">
        <w:rPr>
          <w:rFonts w:ascii="Garamond" w:hAnsi="Garamond"/>
          <w:bCs/>
          <w:i w:val="0"/>
          <w:sz w:val="20"/>
          <w:szCs w:val="20"/>
        </w:rPr>
        <w:t xml:space="preserve"> </w:t>
      </w:r>
      <w:bookmarkStart w:id="4" w:name="_Hlk180163854"/>
      <w:r w:rsidR="00566C8D" w:rsidRPr="00566C8D">
        <w:rPr>
          <w:rFonts w:ascii="Garamond" w:hAnsi="Garamond"/>
          <w:bCs/>
          <w:i w:val="0"/>
          <w:sz w:val="20"/>
          <w:szCs w:val="20"/>
        </w:rPr>
        <w:t>HR 4 april 2014, ECLI:NL:HR:2014:797, NJ 2014/286; RO 2014/43; JOR 2014/290 (Cancun)</w:t>
      </w:r>
      <w:bookmarkEnd w:id="4"/>
      <w:r w:rsidR="0015247C">
        <w:rPr>
          <w:rFonts w:ascii="Garamond" w:hAnsi="Garamond"/>
          <w:bCs/>
          <w:i w:val="0"/>
          <w:sz w:val="20"/>
          <w:szCs w:val="20"/>
        </w:rPr>
        <w:t>.</w:t>
      </w:r>
    </w:p>
    <w:p w14:paraId="10E60BC0" w14:textId="140A2B90" w:rsidR="00566C8D" w:rsidRPr="00566C8D" w:rsidRDefault="00BA649D" w:rsidP="004B7E44">
      <w:pPr>
        <w:pStyle w:val="Kop3"/>
        <w:pBdr>
          <w:bottom w:val="single" w:sz="12" w:space="1" w:color="auto"/>
        </w:pBdr>
        <w:rPr>
          <w:rFonts w:ascii="Garamond" w:hAnsi="Garamond"/>
          <w:bCs/>
          <w:i w:val="0"/>
          <w:sz w:val="20"/>
          <w:szCs w:val="20"/>
        </w:rPr>
      </w:pPr>
      <w:r>
        <w:rPr>
          <w:rFonts w:ascii="Garamond" w:hAnsi="Garamond"/>
          <w:bCs/>
          <w:i w:val="0"/>
          <w:sz w:val="20"/>
          <w:szCs w:val="20"/>
          <w:vertAlign w:val="superscript"/>
        </w:rPr>
        <w:t>9</w:t>
      </w:r>
      <w:r w:rsidR="00566C8D" w:rsidRPr="00566C8D">
        <w:rPr>
          <w:rFonts w:ascii="Garamond" w:hAnsi="Garamond"/>
          <w:bCs/>
          <w:i w:val="0"/>
          <w:sz w:val="20"/>
          <w:szCs w:val="20"/>
        </w:rPr>
        <w:t xml:space="preserve"> HR 4 april 2014, ECLI:NL:HR:2014:797, NJ 2014/286; RO 2014/43; JOR 2014/290 (Cancun)</w:t>
      </w:r>
      <w:r w:rsidR="0015247C">
        <w:rPr>
          <w:rFonts w:ascii="Garamond" w:hAnsi="Garamond"/>
          <w:bCs/>
          <w:i w:val="0"/>
          <w:sz w:val="20"/>
          <w:szCs w:val="20"/>
        </w:rPr>
        <w:t>.</w:t>
      </w:r>
    </w:p>
    <w:p w14:paraId="5231B159" w14:textId="77777777" w:rsidR="00BA649D" w:rsidRPr="00BA649D" w:rsidRDefault="00BA649D" w:rsidP="00BA649D">
      <w:pPr>
        <w:pStyle w:val="Kop3"/>
        <w:rPr>
          <w:rFonts w:ascii="Garamond" w:hAnsi="Garamond"/>
          <w:b/>
          <w:i w:val="0"/>
          <w:sz w:val="26"/>
          <w:szCs w:val="26"/>
        </w:rPr>
      </w:pPr>
    </w:p>
    <w:p w14:paraId="03C7DDFA" w14:textId="7063AA9C" w:rsidR="00BB47DD" w:rsidRPr="00566C8D" w:rsidRDefault="00BB47DD" w:rsidP="003A7625">
      <w:pPr>
        <w:spacing w:after="160" w:line="259" w:lineRule="auto"/>
        <w:rPr>
          <w:rFonts w:ascii="Garamond" w:eastAsia="Aptos" w:hAnsi="Garamond" w:cs="Times New Roman"/>
          <w:color w:val="auto"/>
          <w:kern w:val="2"/>
          <w:sz w:val="26"/>
          <w:szCs w:val="26"/>
          <w14:ligatures w14:val="standardContextual"/>
        </w:rPr>
      </w:pPr>
      <w:r w:rsidRPr="00BB47DD">
        <w:rPr>
          <w:rFonts w:ascii="Garamond" w:eastAsia="Aptos" w:hAnsi="Garamond" w:cs="Times New Roman"/>
          <w:color w:val="auto"/>
          <w:kern w:val="2"/>
          <w:sz w:val="26"/>
          <w:szCs w:val="26"/>
          <w14:ligatures w14:val="standardContextual"/>
        </w:rPr>
        <w:t>If you're considering investing or setting up business in the Netherlands, our expertise can help you navigate the complexities of Dutch law while maximizing your investment potential. Contact us at Loor Legal &amp; Partners for a consultation and customized legal strategy</w:t>
      </w:r>
      <w:r>
        <w:rPr>
          <w:rFonts w:ascii="Garamond" w:eastAsia="Aptos" w:hAnsi="Garamond" w:cs="Times New Roman"/>
          <w:color w:val="auto"/>
          <w:kern w:val="2"/>
          <w:sz w:val="26"/>
          <w:szCs w:val="26"/>
          <w14:ligatures w14:val="standardContextual"/>
        </w:rPr>
        <w:t>.</w:t>
      </w:r>
    </w:p>
    <w:p w14:paraId="197C4973" w14:textId="30D202F2" w:rsidR="003A7625" w:rsidRPr="003A7625" w:rsidRDefault="003A7625" w:rsidP="003A7625">
      <w:pPr>
        <w:spacing w:after="160" w:line="259" w:lineRule="auto"/>
        <w:rPr>
          <w:rFonts w:ascii="Garamond" w:eastAsia="Aptos" w:hAnsi="Garamond" w:cs="Times New Roman"/>
          <w:color w:val="auto"/>
          <w:kern w:val="2"/>
          <w:sz w:val="26"/>
          <w:szCs w:val="26"/>
          <w14:ligatures w14:val="standardContextual"/>
        </w:rPr>
      </w:pPr>
      <w:r w:rsidRPr="003A7625">
        <w:rPr>
          <w:rFonts w:ascii="Garamond" w:eastAsia="Aptos" w:hAnsi="Garamond" w:cs="Times New Roman"/>
          <w:b/>
          <w:bCs/>
          <w:color w:val="auto"/>
          <w:kern w:val="2"/>
          <w:sz w:val="26"/>
          <w:szCs w:val="26"/>
          <w14:ligatures w14:val="standardContextual"/>
        </w:rPr>
        <w:t>About Loor Legal &amp; Partners</w:t>
      </w:r>
    </w:p>
    <w:p w14:paraId="56D9C555" w14:textId="780C49F1" w:rsidR="00BB47DD" w:rsidRPr="00566C8D" w:rsidRDefault="00445E77" w:rsidP="003A7625">
      <w:pPr>
        <w:spacing w:after="160" w:line="259" w:lineRule="auto"/>
        <w:rPr>
          <w:rFonts w:ascii="Garamond" w:eastAsia="Aptos" w:hAnsi="Garamond" w:cs="Times New Roman"/>
          <w:color w:val="auto"/>
          <w:kern w:val="2"/>
          <w:sz w:val="26"/>
          <w:szCs w:val="26"/>
          <w14:ligatures w14:val="standardContextual"/>
        </w:rPr>
      </w:pPr>
      <w:r w:rsidRPr="00445E77">
        <w:rPr>
          <w:rFonts w:ascii="Garamond" w:eastAsia="Aptos" w:hAnsi="Garamond" w:cs="Times New Roman"/>
          <w:color w:val="auto"/>
          <w:kern w:val="2"/>
          <w:sz w:val="26"/>
          <w:szCs w:val="26"/>
          <w14:ligatures w14:val="standardContextual"/>
        </w:rPr>
        <w:t xml:space="preserve">Loor Legal &amp; Partners is a boutique law firm based in the Netherlands, specializing in commercial and corporate law. </w:t>
      </w:r>
      <w:r w:rsidR="00E6673F" w:rsidRPr="00E6673F">
        <w:rPr>
          <w:rFonts w:ascii="Garamond" w:eastAsia="Aptos" w:hAnsi="Garamond" w:cs="Times New Roman"/>
          <w:bCs/>
          <w:color w:val="auto"/>
          <w:kern w:val="2"/>
          <w:sz w:val="26"/>
          <w:szCs w:val="26"/>
          <w14:ligatures w14:val="standardContextual"/>
        </w:rPr>
        <w:t>We do not just provide legal assistance, but help our clients realize their vision</w:t>
      </w:r>
      <w:r w:rsidRPr="00445E77">
        <w:rPr>
          <w:rFonts w:ascii="Garamond" w:eastAsia="Aptos" w:hAnsi="Garamond" w:cs="Times New Roman"/>
          <w:color w:val="auto"/>
          <w:kern w:val="2"/>
          <w:sz w:val="26"/>
          <w:szCs w:val="26"/>
          <w14:ligatures w14:val="standardContextual"/>
        </w:rPr>
        <w:t xml:space="preserve">. Our strength </w:t>
      </w:r>
      <w:r w:rsidR="00CE2643">
        <w:rPr>
          <w:rFonts w:ascii="Garamond" w:eastAsia="Aptos" w:hAnsi="Garamond" w:cs="Times New Roman"/>
          <w:color w:val="auto"/>
          <w:kern w:val="2"/>
          <w:sz w:val="26"/>
          <w:szCs w:val="26"/>
          <w14:ligatures w14:val="standardContextual"/>
        </w:rPr>
        <w:t xml:space="preserve">is </w:t>
      </w:r>
      <w:r w:rsidRPr="00445E77">
        <w:rPr>
          <w:rFonts w:ascii="Garamond" w:eastAsia="Aptos" w:hAnsi="Garamond" w:cs="Times New Roman"/>
          <w:color w:val="auto"/>
          <w:kern w:val="2"/>
          <w:sz w:val="26"/>
          <w:szCs w:val="26"/>
          <w14:ligatures w14:val="standardContextual"/>
        </w:rPr>
        <w:t>our fast response, personalized service and focus on client success. With a proven track record in business acquisitions, participations and mergers, we are proud of the reputation we’ve built.</w:t>
      </w:r>
    </w:p>
    <w:p w14:paraId="51188D20" w14:textId="77777777" w:rsidR="0060336C" w:rsidRDefault="0060336C" w:rsidP="002014FC">
      <w:pPr>
        <w:spacing w:after="160" w:line="240" w:lineRule="auto"/>
        <w:rPr>
          <w:rFonts w:ascii="Garamond" w:eastAsia="Aptos" w:hAnsi="Garamond" w:cs="Times New Roman"/>
          <w:b/>
          <w:bCs/>
          <w:color w:val="auto"/>
          <w:kern w:val="2"/>
          <w:sz w:val="26"/>
          <w:szCs w:val="26"/>
          <w14:ligatures w14:val="standardContextual"/>
        </w:rPr>
      </w:pPr>
    </w:p>
    <w:p w14:paraId="750D90E4" w14:textId="09E5D492" w:rsidR="003A7625" w:rsidRPr="003A7625" w:rsidRDefault="003A7625" w:rsidP="002014FC">
      <w:pPr>
        <w:spacing w:after="160" w:line="240" w:lineRule="auto"/>
        <w:rPr>
          <w:rFonts w:ascii="Garamond" w:eastAsia="Aptos" w:hAnsi="Garamond" w:cs="Times New Roman"/>
          <w:color w:val="auto"/>
          <w:kern w:val="2"/>
          <w:sz w:val="26"/>
          <w:szCs w:val="26"/>
          <w14:ligatures w14:val="standardContextual"/>
        </w:rPr>
      </w:pPr>
      <w:r w:rsidRPr="003A7625">
        <w:rPr>
          <w:rFonts w:ascii="Garamond" w:eastAsia="Aptos" w:hAnsi="Garamond" w:cs="Times New Roman"/>
          <w:b/>
          <w:bCs/>
          <w:color w:val="auto"/>
          <w:kern w:val="2"/>
          <w:sz w:val="26"/>
          <w:szCs w:val="26"/>
          <w14:ligatures w14:val="standardContextual"/>
        </w:rPr>
        <w:t>Why Engage Loor Legal &amp; Partners?</w:t>
      </w:r>
    </w:p>
    <w:p w14:paraId="247C8406" w14:textId="1DF17608" w:rsidR="003A7625" w:rsidRPr="003A7625" w:rsidRDefault="00C32F0B" w:rsidP="002014FC">
      <w:pPr>
        <w:numPr>
          <w:ilvl w:val="0"/>
          <w:numId w:val="12"/>
        </w:numPr>
        <w:spacing w:after="160" w:line="240" w:lineRule="auto"/>
        <w:rPr>
          <w:rFonts w:ascii="Garamond" w:eastAsia="Aptos" w:hAnsi="Garamond" w:cs="Times New Roman"/>
          <w:color w:val="auto"/>
          <w:kern w:val="2"/>
          <w:sz w:val="26"/>
          <w:szCs w:val="26"/>
          <w14:ligatures w14:val="standardContextual"/>
        </w:rPr>
      </w:pPr>
      <w:r w:rsidRPr="00C32F0B">
        <w:rPr>
          <w:rFonts w:ascii="Garamond" w:eastAsia="Aptos" w:hAnsi="Garamond" w:cs="Times New Roman"/>
          <w:color w:val="auto"/>
          <w:kern w:val="2"/>
          <w:sz w:val="26"/>
          <w:szCs w:val="26"/>
          <w14:ligatures w14:val="standardContextual"/>
        </w:rPr>
        <w:t>Expertise in M&amp;A support for small and medium enterprises</w:t>
      </w:r>
      <w:r>
        <w:rPr>
          <w:rFonts w:ascii="Garamond" w:eastAsia="Aptos" w:hAnsi="Garamond" w:cs="Times New Roman"/>
          <w:color w:val="auto"/>
          <w:kern w:val="2"/>
          <w:sz w:val="26"/>
          <w:szCs w:val="26"/>
          <w14:ligatures w14:val="standardContextual"/>
        </w:rPr>
        <w:t>.</w:t>
      </w:r>
    </w:p>
    <w:p w14:paraId="57E1A422" w14:textId="5349C295" w:rsidR="003A7625" w:rsidRPr="003A7625" w:rsidRDefault="00C32F0B" w:rsidP="002014FC">
      <w:pPr>
        <w:numPr>
          <w:ilvl w:val="0"/>
          <w:numId w:val="12"/>
        </w:numPr>
        <w:spacing w:after="160" w:line="240" w:lineRule="auto"/>
        <w:rPr>
          <w:rFonts w:ascii="Garamond" w:eastAsia="Aptos" w:hAnsi="Garamond" w:cs="Times New Roman"/>
          <w:color w:val="auto"/>
          <w:kern w:val="2"/>
          <w:sz w:val="26"/>
          <w:szCs w:val="26"/>
          <w14:ligatures w14:val="standardContextual"/>
        </w:rPr>
      </w:pPr>
      <w:r w:rsidRPr="00C32F0B">
        <w:rPr>
          <w:rFonts w:ascii="Garamond" w:eastAsia="Aptos" w:hAnsi="Garamond" w:cs="Times New Roman"/>
          <w:color w:val="auto"/>
          <w:kern w:val="2"/>
          <w:sz w:val="26"/>
          <w:szCs w:val="26"/>
          <w14:ligatures w14:val="standardContextual"/>
        </w:rPr>
        <w:t>Flexible and specialized knowledge with short lines of communication</w:t>
      </w:r>
      <w:r>
        <w:rPr>
          <w:rFonts w:ascii="Garamond" w:eastAsia="Aptos" w:hAnsi="Garamond" w:cs="Times New Roman"/>
          <w:color w:val="auto"/>
          <w:kern w:val="2"/>
          <w:sz w:val="26"/>
          <w:szCs w:val="26"/>
          <w14:ligatures w14:val="standardContextual"/>
        </w:rPr>
        <w:t>.</w:t>
      </w:r>
    </w:p>
    <w:p w14:paraId="066290E9" w14:textId="4FBAB860" w:rsidR="003A7625" w:rsidRPr="003A7625" w:rsidRDefault="00C32F0B" w:rsidP="002014FC">
      <w:pPr>
        <w:numPr>
          <w:ilvl w:val="0"/>
          <w:numId w:val="12"/>
        </w:numPr>
        <w:spacing w:after="160" w:line="240" w:lineRule="auto"/>
        <w:rPr>
          <w:rFonts w:ascii="Garamond" w:eastAsia="Aptos" w:hAnsi="Garamond" w:cs="Times New Roman"/>
          <w:color w:val="auto"/>
          <w:kern w:val="2"/>
          <w:sz w:val="26"/>
          <w:szCs w:val="26"/>
          <w14:ligatures w14:val="standardContextual"/>
        </w:rPr>
      </w:pPr>
      <w:r>
        <w:rPr>
          <w:rFonts w:ascii="Garamond" w:eastAsia="Aptos" w:hAnsi="Garamond" w:cs="Times New Roman"/>
          <w:color w:val="auto"/>
          <w:kern w:val="2"/>
          <w:sz w:val="26"/>
          <w:szCs w:val="26"/>
          <w14:ligatures w14:val="standardContextual"/>
        </w:rPr>
        <w:t>Dedicated</w:t>
      </w:r>
      <w:r w:rsidR="003A7625" w:rsidRPr="003A7625">
        <w:rPr>
          <w:rFonts w:ascii="Garamond" w:eastAsia="Aptos" w:hAnsi="Garamond" w:cs="Times New Roman"/>
          <w:color w:val="auto"/>
          <w:kern w:val="2"/>
          <w:sz w:val="26"/>
          <w:szCs w:val="26"/>
          <w14:ligatures w14:val="standardContextual"/>
        </w:rPr>
        <w:t xml:space="preserve"> partners throughout the entire </w:t>
      </w:r>
      <w:r>
        <w:rPr>
          <w:rFonts w:ascii="Garamond" w:eastAsia="Aptos" w:hAnsi="Garamond" w:cs="Times New Roman"/>
          <w:color w:val="auto"/>
          <w:kern w:val="2"/>
          <w:sz w:val="26"/>
          <w:szCs w:val="26"/>
          <w14:ligatures w14:val="standardContextual"/>
        </w:rPr>
        <w:t>p</w:t>
      </w:r>
      <w:r w:rsidR="003A7625" w:rsidRPr="003A7625">
        <w:rPr>
          <w:rFonts w:ascii="Garamond" w:eastAsia="Aptos" w:hAnsi="Garamond" w:cs="Times New Roman"/>
          <w:color w:val="auto"/>
          <w:kern w:val="2"/>
          <w:sz w:val="26"/>
          <w:szCs w:val="26"/>
          <w14:ligatures w14:val="standardContextual"/>
        </w:rPr>
        <w:t>rocess</w:t>
      </w:r>
      <w:r>
        <w:rPr>
          <w:rFonts w:ascii="Garamond" w:eastAsia="Aptos" w:hAnsi="Garamond" w:cs="Times New Roman"/>
          <w:color w:val="auto"/>
          <w:kern w:val="2"/>
          <w:sz w:val="26"/>
          <w:szCs w:val="26"/>
          <w14:ligatures w14:val="standardContextual"/>
        </w:rPr>
        <w:t>.</w:t>
      </w:r>
    </w:p>
    <w:p w14:paraId="06220B6D" w14:textId="6CBC7FA9" w:rsidR="00D8065C" w:rsidRPr="0060336C" w:rsidRDefault="003A7625" w:rsidP="0060336C">
      <w:pPr>
        <w:numPr>
          <w:ilvl w:val="0"/>
          <w:numId w:val="12"/>
        </w:numPr>
        <w:spacing w:after="160" w:line="240" w:lineRule="auto"/>
        <w:rPr>
          <w:rFonts w:ascii="Garamond" w:eastAsia="Aptos" w:hAnsi="Garamond" w:cs="Times New Roman"/>
          <w:color w:val="auto"/>
          <w:kern w:val="2"/>
          <w:sz w:val="26"/>
          <w:szCs w:val="26"/>
          <w14:ligatures w14:val="standardContextual"/>
        </w:rPr>
      </w:pPr>
      <w:r w:rsidRPr="003A7625">
        <w:rPr>
          <w:rFonts w:ascii="Garamond" w:eastAsia="Aptos" w:hAnsi="Garamond" w:cs="Times New Roman"/>
          <w:color w:val="auto"/>
          <w:kern w:val="2"/>
          <w:sz w:val="26"/>
          <w:szCs w:val="26"/>
          <w14:ligatures w14:val="standardContextual"/>
        </w:rPr>
        <w:t>Experienced in advising and conducting legal proceedings, particularly in corporate law</w:t>
      </w:r>
      <w:r w:rsidR="00C32F0B">
        <w:rPr>
          <w:rFonts w:ascii="Garamond" w:eastAsia="Aptos" w:hAnsi="Garamond" w:cs="Times New Roman"/>
          <w:color w:val="auto"/>
          <w:kern w:val="2"/>
          <w:sz w:val="26"/>
          <w:szCs w:val="26"/>
          <w14:ligatures w14:val="standardContextual"/>
        </w:rPr>
        <w:t>.</w:t>
      </w:r>
    </w:p>
    <w:p w14:paraId="7396BD97" w14:textId="77777777" w:rsidR="00566C8D" w:rsidRDefault="00566C8D" w:rsidP="004B7E44">
      <w:pPr>
        <w:rPr>
          <w:rFonts w:ascii="Garamond" w:hAnsi="Garamond" w:cs="Times New Roman"/>
          <w:color w:val="auto"/>
          <w:sz w:val="26"/>
          <w:szCs w:val="26"/>
        </w:rPr>
      </w:pPr>
    </w:p>
    <w:p w14:paraId="21632226" w14:textId="77777777" w:rsidR="00566C8D" w:rsidRDefault="00566C8D" w:rsidP="004B7E44">
      <w:pPr>
        <w:rPr>
          <w:rFonts w:ascii="Garamond" w:hAnsi="Garamond" w:cs="Times New Roman"/>
          <w:color w:val="auto"/>
          <w:sz w:val="26"/>
          <w:szCs w:val="26"/>
        </w:rPr>
        <w:sectPr w:rsidR="00566C8D" w:rsidSect="00205D6F">
          <w:headerReference w:type="default" r:id="rId12"/>
          <w:footerReference w:type="default" r:id="rId13"/>
          <w:footerReference w:type="first" r:id="rId14"/>
          <w:type w:val="continuous"/>
          <w:pgSz w:w="11906" w:h="16838" w:code="9"/>
          <w:pgMar w:top="720" w:right="1152" w:bottom="720" w:left="1152" w:header="0" w:footer="0" w:gutter="0"/>
          <w:pgNumType w:start="1"/>
          <w:cols w:space="709"/>
          <w:titlePg/>
          <w:docGrid w:linePitch="381"/>
          <w15:footnoteColumns w:val="1"/>
        </w:sectPr>
      </w:pPr>
    </w:p>
    <w:p w14:paraId="2721F1D7" w14:textId="77777777" w:rsidR="00566C8D" w:rsidRDefault="00566C8D" w:rsidP="004B7E44">
      <w:pPr>
        <w:rPr>
          <w:rFonts w:ascii="Garamond" w:hAnsi="Garamond" w:cs="Times New Roman"/>
          <w:color w:val="auto"/>
          <w:sz w:val="26"/>
          <w:szCs w:val="26"/>
        </w:rPr>
      </w:pPr>
    </w:p>
    <w:p w14:paraId="3875CAF2" w14:textId="120557DD" w:rsidR="00D8065C" w:rsidRDefault="00DA36D6" w:rsidP="004B7E44">
      <w:pPr>
        <w:rPr>
          <w:rFonts w:ascii="Garamond" w:hAnsi="Garamond" w:cs="Times New Roman"/>
          <w:color w:val="auto"/>
          <w:sz w:val="26"/>
          <w:szCs w:val="26"/>
        </w:rPr>
      </w:pPr>
      <w:r w:rsidRPr="0023616A">
        <w:rPr>
          <w:rFonts w:ascii="Garamond" w:hAnsi="Garamond" w:cs="Times New Roman"/>
          <w:color w:val="auto"/>
          <w:sz w:val="26"/>
          <w:szCs w:val="26"/>
        </w:rPr>
        <w:t xml:space="preserve">Ernest Loor, attorney-at-law </w:t>
      </w:r>
      <w:r w:rsidR="00CC714E">
        <w:rPr>
          <w:rFonts w:ascii="Garamond" w:hAnsi="Garamond" w:cs="Times New Roman"/>
          <w:color w:val="auto"/>
          <w:sz w:val="26"/>
          <w:szCs w:val="26"/>
        </w:rPr>
        <w:tab/>
      </w:r>
    </w:p>
    <w:p w14:paraId="32FEFB8A" w14:textId="142AC358" w:rsidR="00DA36D6" w:rsidRPr="0023616A" w:rsidRDefault="00DA36D6" w:rsidP="004B7E44">
      <w:pPr>
        <w:rPr>
          <w:rFonts w:ascii="Garamond" w:hAnsi="Garamond" w:cs="Times New Roman"/>
          <w:color w:val="auto"/>
          <w:sz w:val="26"/>
          <w:szCs w:val="26"/>
        </w:rPr>
      </w:pPr>
      <w:r w:rsidRPr="0023616A">
        <w:rPr>
          <w:rFonts w:ascii="Garamond" w:hAnsi="Garamond" w:cs="Times New Roman"/>
          <w:color w:val="auto"/>
          <w:sz w:val="26"/>
          <w:szCs w:val="26"/>
        </w:rPr>
        <w:t xml:space="preserve">Email: </w:t>
      </w:r>
      <w:hyperlink r:id="rId15" w:history="1">
        <w:r w:rsidRPr="0023616A">
          <w:rPr>
            <w:rStyle w:val="Hyperlink"/>
            <w:rFonts w:ascii="Garamond" w:hAnsi="Garamond" w:cs="Times New Roman"/>
            <w:sz w:val="26"/>
            <w:szCs w:val="26"/>
          </w:rPr>
          <w:t>loor@loorlegal.nl</w:t>
        </w:r>
      </w:hyperlink>
      <w:r w:rsidRPr="0023616A">
        <w:rPr>
          <w:rFonts w:ascii="Garamond" w:hAnsi="Garamond" w:cs="Times New Roman"/>
          <w:color w:val="auto"/>
          <w:sz w:val="26"/>
          <w:szCs w:val="26"/>
        </w:rPr>
        <w:t xml:space="preserve"> </w:t>
      </w:r>
    </w:p>
    <w:p w14:paraId="6EEBBA0C" w14:textId="40F942FE" w:rsidR="00DA36D6" w:rsidRPr="0023616A" w:rsidRDefault="00DA36D6" w:rsidP="004B7E44">
      <w:pPr>
        <w:rPr>
          <w:rFonts w:ascii="Garamond" w:hAnsi="Garamond" w:cs="Times New Roman"/>
          <w:color w:val="auto"/>
          <w:sz w:val="26"/>
          <w:szCs w:val="26"/>
        </w:rPr>
      </w:pPr>
      <w:r w:rsidRPr="0023616A">
        <w:rPr>
          <w:rFonts w:ascii="Garamond" w:hAnsi="Garamond" w:cs="Times New Roman"/>
          <w:color w:val="auto"/>
          <w:sz w:val="26"/>
          <w:szCs w:val="26"/>
        </w:rPr>
        <w:t>Tel: +31 (0)55 303 19 50</w:t>
      </w:r>
    </w:p>
    <w:p w14:paraId="6CE9CD14" w14:textId="205262EF" w:rsidR="00DA36D6" w:rsidRDefault="00DA36D6" w:rsidP="004B7E44">
      <w:pPr>
        <w:rPr>
          <w:rFonts w:ascii="Garamond" w:hAnsi="Garamond" w:cs="Times New Roman"/>
          <w:color w:val="auto"/>
          <w:sz w:val="26"/>
          <w:szCs w:val="26"/>
        </w:rPr>
      </w:pPr>
      <w:r w:rsidRPr="0023616A">
        <w:rPr>
          <w:rFonts w:ascii="Garamond" w:hAnsi="Garamond" w:cs="Times New Roman"/>
          <w:color w:val="auto"/>
          <w:sz w:val="26"/>
          <w:szCs w:val="26"/>
        </w:rPr>
        <w:t>Mob: +31 (0)6 54 361 438</w:t>
      </w:r>
    </w:p>
    <w:p w14:paraId="24FF4433" w14:textId="519D0B5A" w:rsidR="00ED0F6C" w:rsidRPr="0023616A" w:rsidRDefault="00ED0F6C" w:rsidP="004B7E44">
      <w:pPr>
        <w:rPr>
          <w:rFonts w:ascii="Garamond" w:hAnsi="Garamond"/>
        </w:rPr>
      </w:pPr>
      <w:r w:rsidRPr="0023616A">
        <w:rPr>
          <w:rFonts w:ascii="Garamond" w:hAnsi="Garamond"/>
          <w:noProof/>
        </w:rPr>
        <w:drawing>
          <wp:inline distT="0" distB="0" distL="0" distR="0" wp14:anchorId="10C94B92" wp14:editId="631CFD95">
            <wp:extent cx="2000250" cy="1420408"/>
            <wp:effectExtent l="0" t="0" r="0" b="8890"/>
            <wp:docPr id="1942333938" name="Afbeelding 11" descr="Afbeelding met persoon, Menselijk gezicht, Formele kleding,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33938" name="Afbeelding 11" descr="Afbeelding met persoon, Menselijk gezicht, Formele kleding, kleding&#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1611" cy="1449779"/>
                    </a:xfrm>
                    <a:prstGeom prst="rect">
                      <a:avLst/>
                    </a:prstGeom>
                  </pic:spPr>
                </pic:pic>
              </a:graphicData>
            </a:graphic>
          </wp:inline>
        </w:drawing>
      </w:r>
    </w:p>
    <w:p w14:paraId="065A26FB" w14:textId="77777777" w:rsidR="00DA62F1" w:rsidRPr="0023616A" w:rsidRDefault="00DA62F1" w:rsidP="004B7E44">
      <w:pPr>
        <w:rPr>
          <w:rFonts w:ascii="Garamond" w:hAnsi="Garamond"/>
        </w:rPr>
      </w:pPr>
    </w:p>
    <w:sectPr w:rsidR="00DA62F1" w:rsidRPr="0023616A" w:rsidSect="00566C8D">
      <w:type w:val="continuous"/>
      <w:pgSz w:w="11906" w:h="16838" w:code="9"/>
      <w:pgMar w:top="720" w:right="1152" w:bottom="720" w:left="1152" w:header="0" w:footer="0" w:gutter="0"/>
      <w:pgNumType w:start="1"/>
      <w:cols w:num="2" w:space="709"/>
      <w:titlePg/>
      <w:docGrid w:linePitch="381"/>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14F8D2" w14:textId="77777777" w:rsidR="00AC7817" w:rsidRDefault="00AC7817" w:rsidP="004B7E44">
      <w:r>
        <w:separator/>
      </w:r>
    </w:p>
  </w:endnote>
  <w:endnote w:type="continuationSeparator" w:id="0">
    <w:p w14:paraId="072F5300" w14:textId="77777777" w:rsidR="00AC7817" w:rsidRDefault="00AC7817"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CA537F8"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9069594" w14:textId="797A4CE6" w:rsidR="004B7E44" w:rsidRPr="00CC714E" w:rsidRDefault="00C038BE" w:rsidP="004B7E44">
          <w:pPr>
            <w:pStyle w:val="Voettekst"/>
            <w:rPr>
              <w:rFonts w:ascii="Garamond" w:hAnsi="Garamond"/>
            </w:rPr>
          </w:pPr>
          <w:hyperlink r:id="rId1" w:history="1">
            <w:r w:rsidRPr="00503C64">
              <w:rPr>
                <w:rStyle w:val="Hyperlink"/>
                <w:rFonts w:ascii="Garamond" w:hAnsi="Garamond"/>
                <w:lang w:bidi="nl-NL"/>
              </w:rPr>
              <w:t>www.loorlegal.nl</w:t>
            </w:r>
          </w:hyperlink>
          <w:r>
            <w:rPr>
              <w:rFonts w:ascii="Garamond" w:hAnsi="Garamond"/>
              <w:lang w:bidi="nl-NL"/>
            </w:rPr>
            <w:t xml:space="preserve">                                        </w:t>
          </w:r>
          <w:r w:rsidRPr="00C038BE">
            <w:rPr>
              <w:rFonts w:ascii="Garamond" w:hAnsi="Garamond"/>
              <w:sz w:val="24"/>
              <w:szCs w:val="24"/>
              <w:lang w:bidi="nl-NL"/>
            </w:rPr>
            <w:t>Law stated – November 2024</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6191010"/>
      <w:docPartObj>
        <w:docPartGallery w:val="Page Numbers (Bottom of Page)"/>
        <w:docPartUnique/>
      </w:docPartObj>
    </w:sdtPr>
    <w:sdtEndPr>
      <w:rPr>
        <w:noProof/>
      </w:rPr>
    </w:sdtEndPr>
    <w:sdtContent>
      <w:p w14:paraId="653B755F" w14:textId="77777777" w:rsidR="005A718F" w:rsidRDefault="005A718F" w:rsidP="004B7E44">
        <w:pPr>
          <w:pStyle w:val="Voettekst"/>
        </w:pPr>
        <w:r>
          <w:rPr>
            <w:lang w:bidi="nl-NL"/>
          </w:rPr>
          <w:fldChar w:fldCharType="begin"/>
        </w:r>
        <w:r>
          <w:rPr>
            <w:lang w:bidi="nl-NL"/>
          </w:rPr>
          <w:instrText xml:space="preserve"> PAGE   \* MERGEFORMAT </w:instrText>
        </w:r>
        <w:r>
          <w:rPr>
            <w:lang w:bidi="nl-NL"/>
          </w:rPr>
          <w:fldChar w:fldCharType="separate"/>
        </w:r>
        <w:r w:rsidR="009120E9">
          <w:rPr>
            <w:noProof/>
            <w:lang w:bidi="nl-NL"/>
          </w:rPr>
          <w:t>1</w:t>
        </w:r>
        <w:r>
          <w:rPr>
            <w:noProof/>
            <w:lang w:bidi="nl-N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2B38B" w14:textId="77777777" w:rsidR="00AC7817" w:rsidRDefault="00AC7817" w:rsidP="004B7E44">
      <w:r>
        <w:separator/>
      </w:r>
    </w:p>
  </w:footnote>
  <w:footnote w:type="continuationSeparator" w:id="0">
    <w:p w14:paraId="684451C7" w14:textId="77777777" w:rsidR="00AC7817" w:rsidRDefault="00AC7817" w:rsidP="004B7E44">
      <w:r>
        <w:continuationSeparator/>
      </w:r>
    </w:p>
  </w:footnote>
  <w:footnote w:id="1">
    <w:p w14:paraId="72CF7D6A" w14:textId="34F2A17F" w:rsidR="00205D6F" w:rsidRPr="00205D6F" w:rsidRDefault="00205D6F">
      <w:pPr>
        <w:pStyle w:val="Voetnoottekst"/>
        <w:rPr>
          <w:rFonts w:ascii="Garamond" w:hAnsi="Garamond"/>
        </w:rPr>
      </w:pPr>
    </w:p>
  </w:footnote>
  <w:footnote w:id="2">
    <w:p w14:paraId="269DC73F" w14:textId="7B1116C5" w:rsidR="00205D6F" w:rsidRDefault="00205D6F">
      <w:pPr>
        <w:pStyle w:val="Voetnoottekst"/>
      </w:pPr>
    </w:p>
  </w:footnote>
  <w:footnote w:id="3">
    <w:p w14:paraId="6BB7DA58" w14:textId="2A28D21B" w:rsidR="00205D6F" w:rsidRPr="006F3954" w:rsidRDefault="00205D6F">
      <w:pPr>
        <w:pStyle w:val="Voetnoottekst"/>
        <w:rPr>
          <w:rFonts w:ascii="Garamond" w:hAnsi="Garamond"/>
        </w:rPr>
      </w:pPr>
    </w:p>
  </w:footnote>
  <w:footnote w:id="4">
    <w:p w14:paraId="6AF5505D" w14:textId="46AEAA03" w:rsidR="00205D6F" w:rsidRPr="00C4127C" w:rsidRDefault="00205D6F">
      <w:pPr>
        <w:pStyle w:val="Voetnoottekst"/>
        <w:rPr>
          <w:rFonts w:ascii="Garamond" w:hAnsi="Garamond"/>
        </w:rPr>
      </w:pPr>
    </w:p>
  </w:footnote>
  <w:footnote w:id="5">
    <w:p w14:paraId="7CF7DF28" w14:textId="7F943BA0" w:rsidR="00BF55D9" w:rsidRPr="00BA649D" w:rsidRDefault="00BF55D9">
      <w:pPr>
        <w:pStyle w:val="Voetnoottekst"/>
        <w:rPr>
          <w:rFonts w:ascii="Garamond" w:hAnsi="Garamond"/>
        </w:rPr>
      </w:pPr>
    </w:p>
  </w:footnote>
  <w:footnote w:id="6">
    <w:p w14:paraId="59A99F28" w14:textId="799C7F89" w:rsidR="00205D6F" w:rsidRPr="00B12536" w:rsidRDefault="00205D6F" w:rsidP="0099459D">
      <w:pPr>
        <w:pStyle w:val="Voetnoottekst"/>
        <w:rPr>
          <w:rFonts w:ascii="Garamond" w:hAnsi="Garamond"/>
        </w:rPr>
      </w:pPr>
    </w:p>
  </w:footnote>
  <w:footnote w:id="7">
    <w:p w14:paraId="21B4FCDE" w14:textId="0C3376DF" w:rsidR="00205D6F" w:rsidRPr="00B12536" w:rsidRDefault="00205D6F">
      <w:pPr>
        <w:pStyle w:val="Voetnoottekst"/>
        <w:rPr>
          <w:rFonts w:ascii="Garamond" w:hAnsi="Garamond"/>
        </w:rPr>
      </w:pPr>
    </w:p>
  </w:footnote>
  <w:footnote w:id="8">
    <w:p w14:paraId="7CE72727" w14:textId="6AFDE0D9" w:rsidR="00205D6F" w:rsidRPr="00B12536" w:rsidRDefault="00205D6F">
      <w:pPr>
        <w:pStyle w:val="Voetnoottekst"/>
        <w:rPr>
          <w:rFonts w:ascii="Garamond" w:hAnsi="Garamond"/>
        </w:rPr>
      </w:pPr>
    </w:p>
  </w:footnote>
  <w:footnote w:id="9">
    <w:p w14:paraId="2BC94E69" w14:textId="7E2DA9A5" w:rsidR="00205D6F" w:rsidRPr="009F0F83" w:rsidRDefault="00205D6F">
      <w:pPr>
        <w:pStyle w:val="Voetnoottekst"/>
        <w:rPr>
          <w:rFonts w:ascii="Garamond" w:hAnsi="Garamond"/>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CF2FB59" w14:textId="77777777" w:rsidTr="004B7E44">
      <w:trPr>
        <w:trHeight w:val="1318"/>
      </w:trPr>
      <w:tc>
        <w:tcPr>
          <w:tcW w:w="12210" w:type="dxa"/>
          <w:tcBorders>
            <w:top w:val="nil"/>
            <w:left w:val="nil"/>
            <w:bottom w:val="nil"/>
            <w:right w:val="nil"/>
          </w:tcBorders>
        </w:tcPr>
        <w:p w14:paraId="63FAF0C1" w14:textId="77777777" w:rsidR="004B7E44" w:rsidRDefault="004B7E44" w:rsidP="004B7E44">
          <w:pPr>
            <w:pStyle w:val="Koptekst"/>
          </w:pPr>
          <w:r>
            <w:rPr>
              <w:noProof/>
              <w:lang w:bidi="nl-NL"/>
            </w:rPr>
            <mc:AlternateContent>
              <mc:Choice Requires="wps">
                <w:drawing>
                  <wp:inline distT="0" distB="0" distL="0" distR="0" wp14:anchorId="1072ABC8" wp14:editId="1A34CBBC">
                    <wp:extent cx="1352282" cy="592428"/>
                    <wp:effectExtent l="0" t="0" r="635" b="0"/>
                    <wp:docPr id="11" name="Rechthoek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5D3D3" w14:textId="77777777" w:rsidR="004B7E44" w:rsidRPr="004B7E44" w:rsidRDefault="004B7E44" w:rsidP="004B7E44">
                                <w:pPr>
                                  <w:jc w:val="center"/>
                                  <w:rPr>
                                    <w:b/>
                                  </w:rPr>
                                </w:pPr>
                                <w:r w:rsidRPr="004B7E44">
                                  <w:rPr>
                                    <w:b/>
                                    <w:lang w:bidi="nl-NL"/>
                                  </w:rPr>
                                  <w:fldChar w:fldCharType="begin"/>
                                </w:r>
                                <w:r w:rsidRPr="004B7E44">
                                  <w:rPr>
                                    <w:b/>
                                    <w:lang w:bidi="nl-NL"/>
                                  </w:rPr>
                                  <w:instrText xml:space="preserve"> PAGE  \* Arabic  \* MERGEFORMAT </w:instrText>
                                </w:r>
                                <w:r w:rsidRPr="004B7E44">
                                  <w:rPr>
                                    <w:b/>
                                    <w:lang w:bidi="nl-NL"/>
                                  </w:rPr>
                                  <w:fldChar w:fldCharType="separate"/>
                                </w:r>
                                <w:r w:rsidR="009120E9">
                                  <w:rPr>
                                    <w:b/>
                                    <w:noProof/>
                                    <w:lang w:bidi="nl-NL"/>
                                  </w:rPr>
                                  <w:t>2</w:t>
                                </w:r>
                                <w:r w:rsidRPr="004B7E44">
                                  <w:rPr>
                                    <w:b/>
                                    <w:lang w:bidi="nl-NL"/>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72ABC8" id="Rechthoek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5E05D3D3" w14:textId="77777777" w:rsidR="004B7E44" w:rsidRPr="004B7E44" w:rsidRDefault="004B7E44" w:rsidP="004B7E44">
                          <w:pPr>
                            <w:jc w:val="center"/>
                            <w:rPr>
                              <w:b/>
                            </w:rPr>
                          </w:pPr>
                          <w:r w:rsidRPr="004B7E44">
                            <w:rPr>
                              <w:b/>
                              <w:lang w:bidi="nl-NL"/>
                            </w:rPr>
                            <w:fldChar w:fldCharType="begin"/>
                          </w:r>
                          <w:r w:rsidRPr="004B7E44">
                            <w:rPr>
                              <w:b/>
                              <w:lang w:bidi="nl-NL"/>
                            </w:rPr>
                            <w:instrText xml:space="preserve"> PAGE  \* Arabic  \* MERGEFORMAT </w:instrText>
                          </w:r>
                          <w:r w:rsidRPr="004B7E44">
                            <w:rPr>
                              <w:b/>
                              <w:lang w:bidi="nl-NL"/>
                            </w:rPr>
                            <w:fldChar w:fldCharType="separate"/>
                          </w:r>
                          <w:r w:rsidR="009120E9">
                            <w:rPr>
                              <w:b/>
                              <w:noProof/>
                              <w:lang w:bidi="nl-NL"/>
                            </w:rPr>
                            <w:t>2</w:t>
                          </w:r>
                          <w:r w:rsidRPr="004B7E44">
                            <w:rPr>
                              <w:b/>
                              <w:lang w:bidi="nl-NL"/>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76203"/>
    <w:multiLevelType w:val="hybridMultilevel"/>
    <w:tmpl w:val="BB7E48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F3222BC"/>
    <w:multiLevelType w:val="hybridMultilevel"/>
    <w:tmpl w:val="177088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D5484E"/>
    <w:multiLevelType w:val="hybridMultilevel"/>
    <w:tmpl w:val="E0689F3E"/>
    <w:lvl w:ilvl="0" w:tplc="76AAF3C8">
      <w:numFmt w:val="bullet"/>
      <w:lvlText w:val="•"/>
      <w:lvlJc w:val="left"/>
      <w:pPr>
        <w:ind w:left="720" w:hanging="360"/>
      </w:pPr>
      <w:rPr>
        <w:rFonts w:ascii="Times New Roman" w:eastAsiaTheme="minorEastAs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C1C3ABC"/>
    <w:multiLevelType w:val="multilevel"/>
    <w:tmpl w:val="0B44A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D1A5F41"/>
    <w:multiLevelType w:val="hybridMultilevel"/>
    <w:tmpl w:val="91C6DDD4"/>
    <w:lvl w:ilvl="0" w:tplc="28DCD97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B102BBF"/>
    <w:multiLevelType w:val="hybridMultilevel"/>
    <w:tmpl w:val="E02C9A1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66E4812"/>
    <w:multiLevelType w:val="multilevel"/>
    <w:tmpl w:val="5DA62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C407C5"/>
    <w:multiLevelType w:val="multilevel"/>
    <w:tmpl w:val="6128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B83B9C"/>
    <w:multiLevelType w:val="multilevel"/>
    <w:tmpl w:val="2900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471B7A"/>
    <w:multiLevelType w:val="multilevel"/>
    <w:tmpl w:val="7FB6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341D68"/>
    <w:multiLevelType w:val="multilevel"/>
    <w:tmpl w:val="B136EB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B455798"/>
    <w:multiLevelType w:val="multilevel"/>
    <w:tmpl w:val="4D5656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B81AB2"/>
    <w:multiLevelType w:val="hybridMultilevel"/>
    <w:tmpl w:val="9B904B5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0612430">
    <w:abstractNumId w:val="3"/>
  </w:num>
  <w:num w:numId="2" w16cid:durableId="660237729">
    <w:abstractNumId w:val="1"/>
  </w:num>
  <w:num w:numId="3" w16cid:durableId="989409308">
    <w:abstractNumId w:val="5"/>
  </w:num>
  <w:num w:numId="4" w16cid:durableId="1488396989">
    <w:abstractNumId w:val="0"/>
  </w:num>
  <w:num w:numId="5" w16cid:durableId="2043937194">
    <w:abstractNumId w:val="12"/>
  </w:num>
  <w:num w:numId="6" w16cid:durableId="626277344">
    <w:abstractNumId w:val="2"/>
  </w:num>
  <w:num w:numId="7" w16cid:durableId="1192181476">
    <w:abstractNumId w:val="7"/>
  </w:num>
  <w:num w:numId="8" w16cid:durableId="1378168133">
    <w:abstractNumId w:val="8"/>
  </w:num>
  <w:num w:numId="9" w16cid:durableId="1677726496">
    <w:abstractNumId w:val="6"/>
  </w:num>
  <w:num w:numId="10" w16cid:durableId="1810829312">
    <w:abstractNumId w:val="10"/>
  </w:num>
  <w:num w:numId="11" w16cid:durableId="1951665160">
    <w:abstractNumId w:val="11"/>
  </w:num>
  <w:num w:numId="12" w16cid:durableId="5138021">
    <w:abstractNumId w:val="9"/>
  </w:num>
  <w:num w:numId="13" w16cid:durableId="1268207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0F7"/>
    <w:rsid w:val="000821D9"/>
    <w:rsid w:val="000F6E4B"/>
    <w:rsid w:val="0011381A"/>
    <w:rsid w:val="001158C0"/>
    <w:rsid w:val="00121410"/>
    <w:rsid w:val="00127D0E"/>
    <w:rsid w:val="00137FA9"/>
    <w:rsid w:val="0015247C"/>
    <w:rsid w:val="0017668B"/>
    <w:rsid w:val="00180CB3"/>
    <w:rsid w:val="002014FC"/>
    <w:rsid w:val="00205D6F"/>
    <w:rsid w:val="002074E7"/>
    <w:rsid w:val="002118DB"/>
    <w:rsid w:val="00220F03"/>
    <w:rsid w:val="0023401F"/>
    <w:rsid w:val="0023616A"/>
    <w:rsid w:val="00245819"/>
    <w:rsid w:val="00293B83"/>
    <w:rsid w:val="00297F37"/>
    <w:rsid w:val="002B08D3"/>
    <w:rsid w:val="002E1D2E"/>
    <w:rsid w:val="00303D02"/>
    <w:rsid w:val="00304DBE"/>
    <w:rsid w:val="003336FB"/>
    <w:rsid w:val="00374B81"/>
    <w:rsid w:val="003A7625"/>
    <w:rsid w:val="003C37E8"/>
    <w:rsid w:val="003D553A"/>
    <w:rsid w:val="00414FE0"/>
    <w:rsid w:val="00436470"/>
    <w:rsid w:val="0043649C"/>
    <w:rsid w:val="00436DEB"/>
    <w:rsid w:val="00445E77"/>
    <w:rsid w:val="00451FDE"/>
    <w:rsid w:val="00456160"/>
    <w:rsid w:val="00465339"/>
    <w:rsid w:val="00466EAC"/>
    <w:rsid w:val="004B4E63"/>
    <w:rsid w:val="004B7E44"/>
    <w:rsid w:val="004D5252"/>
    <w:rsid w:val="004F2B86"/>
    <w:rsid w:val="00566C8D"/>
    <w:rsid w:val="005A718F"/>
    <w:rsid w:val="005A7584"/>
    <w:rsid w:val="0060336C"/>
    <w:rsid w:val="0069537D"/>
    <w:rsid w:val="006A3CE7"/>
    <w:rsid w:val="006B4BD7"/>
    <w:rsid w:val="006C0C2D"/>
    <w:rsid w:val="006D2598"/>
    <w:rsid w:val="006E574F"/>
    <w:rsid w:val="006F3954"/>
    <w:rsid w:val="006F74B3"/>
    <w:rsid w:val="00702DEA"/>
    <w:rsid w:val="0073347B"/>
    <w:rsid w:val="0073414F"/>
    <w:rsid w:val="00750A4E"/>
    <w:rsid w:val="007516CF"/>
    <w:rsid w:val="007526FC"/>
    <w:rsid w:val="007D5A9A"/>
    <w:rsid w:val="007F0A60"/>
    <w:rsid w:val="00803BA8"/>
    <w:rsid w:val="008243F5"/>
    <w:rsid w:val="00840F5F"/>
    <w:rsid w:val="008538C6"/>
    <w:rsid w:val="008551BA"/>
    <w:rsid w:val="00861FEE"/>
    <w:rsid w:val="00862ABC"/>
    <w:rsid w:val="00884554"/>
    <w:rsid w:val="00891EFE"/>
    <w:rsid w:val="00892D65"/>
    <w:rsid w:val="008B33BC"/>
    <w:rsid w:val="008B3BC9"/>
    <w:rsid w:val="008C0537"/>
    <w:rsid w:val="008F26D6"/>
    <w:rsid w:val="009120E9"/>
    <w:rsid w:val="00915068"/>
    <w:rsid w:val="00930368"/>
    <w:rsid w:val="009310BA"/>
    <w:rsid w:val="00945229"/>
    <w:rsid w:val="00945900"/>
    <w:rsid w:val="0099459D"/>
    <w:rsid w:val="009A23E1"/>
    <w:rsid w:val="009C0813"/>
    <w:rsid w:val="009C396C"/>
    <w:rsid w:val="009D565A"/>
    <w:rsid w:val="009E30EB"/>
    <w:rsid w:val="009F0F83"/>
    <w:rsid w:val="00A207F0"/>
    <w:rsid w:val="00A426BB"/>
    <w:rsid w:val="00A548AC"/>
    <w:rsid w:val="00A6392C"/>
    <w:rsid w:val="00A72F3D"/>
    <w:rsid w:val="00A91C1F"/>
    <w:rsid w:val="00AA4088"/>
    <w:rsid w:val="00AC7817"/>
    <w:rsid w:val="00AF4A05"/>
    <w:rsid w:val="00AF60F7"/>
    <w:rsid w:val="00B12536"/>
    <w:rsid w:val="00B27C15"/>
    <w:rsid w:val="00B44058"/>
    <w:rsid w:val="00B44970"/>
    <w:rsid w:val="00B572B4"/>
    <w:rsid w:val="00BA649D"/>
    <w:rsid w:val="00BB15F5"/>
    <w:rsid w:val="00BB47DD"/>
    <w:rsid w:val="00BB7BC4"/>
    <w:rsid w:val="00BD5CAF"/>
    <w:rsid w:val="00BF55D9"/>
    <w:rsid w:val="00C038BE"/>
    <w:rsid w:val="00C07B4B"/>
    <w:rsid w:val="00C17B49"/>
    <w:rsid w:val="00C22338"/>
    <w:rsid w:val="00C32F0B"/>
    <w:rsid w:val="00C4127C"/>
    <w:rsid w:val="00C5392B"/>
    <w:rsid w:val="00C64A31"/>
    <w:rsid w:val="00C81C06"/>
    <w:rsid w:val="00CA4A23"/>
    <w:rsid w:val="00CB0F2F"/>
    <w:rsid w:val="00CC714E"/>
    <w:rsid w:val="00CE2643"/>
    <w:rsid w:val="00D223E0"/>
    <w:rsid w:val="00D27599"/>
    <w:rsid w:val="00D700F8"/>
    <w:rsid w:val="00D74CA7"/>
    <w:rsid w:val="00D76243"/>
    <w:rsid w:val="00D8065C"/>
    <w:rsid w:val="00DA0091"/>
    <w:rsid w:val="00DA36D6"/>
    <w:rsid w:val="00DA62F1"/>
    <w:rsid w:val="00DB26A7"/>
    <w:rsid w:val="00DC0A90"/>
    <w:rsid w:val="00DD0F03"/>
    <w:rsid w:val="00DD2D73"/>
    <w:rsid w:val="00E42F79"/>
    <w:rsid w:val="00E60B80"/>
    <w:rsid w:val="00E61D87"/>
    <w:rsid w:val="00E6673F"/>
    <w:rsid w:val="00E73647"/>
    <w:rsid w:val="00E76CAD"/>
    <w:rsid w:val="00E94B5F"/>
    <w:rsid w:val="00EC058A"/>
    <w:rsid w:val="00ED0F6C"/>
    <w:rsid w:val="00EF7CBB"/>
    <w:rsid w:val="00F064DA"/>
    <w:rsid w:val="00F932B9"/>
    <w:rsid w:val="00FC3A7E"/>
    <w:rsid w:val="00FF33FC"/>
    <w:rsid w:val="00FF61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DE095"/>
  <w15:chartTrackingRefBased/>
  <w15:docId w15:val="{A6B282E9-43DE-475C-BC65-76FB1FF92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8"/>
        <w:szCs w:val="18"/>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7E44"/>
    <w:pPr>
      <w:spacing w:after="0"/>
    </w:pPr>
    <w:rPr>
      <w:rFonts w:eastAsiaTheme="minorEastAsia"/>
      <w:color w:val="FFFFFF" w:themeColor="background1"/>
      <w:sz w:val="28"/>
      <w:szCs w:val="22"/>
    </w:rPr>
  </w:style>
  <w:style w:type="paragraph" w:styleId="Kop1">
    <w:name w:val="heading 1"/>
    <w:basedOn w:val="Standaard"/>
    <w:link w:val="Kop1Char"/>
    <w:uiPriority w:val="2"/>
    <w:qFormat/>
    <w:rsid w:val="004B7E44"/>
    <w:pPr>
      <w:keepNext/>
      <w:outlineLvl w:val="0"/>
    </w:pPr>
    <w:rPr>
      <w:rFonts w:asciiTheme="majorHAnsi" w:eastAsia="Times New Roman" w:hAnsiTheme="majorHAnsi" w:cs="Times New Roman"/>
      <w:b/>
      <w:sz w:val="48"/>
      <w:szCs w:val="24"/>
    </w:rPr>
  </w:style>
  <w:style w:type="paragraph" w:styleId="Kop2">
    <w:name w:val="heading 2"/>
    <w:basedOn w:val="Standaard"/>
    <w:link w:val="Kop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Kop3">
    <w:name w:val="heading 3"/>
    <w:basedOn w:val="Standaard"/>
    <w:link w:val="Kop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Kop4">
    <w:name w:val="heading 4"/>
    <w:basedOn w:val="Standaard"/>
    <w:link w:val="Kop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Kop5">
    <w:name w:val="heading 5"/>
    <w:basedOn w:val="Standaard"/>
    <w:next w:val="Standaard"/>
    <w:link w:val="Kop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2"/>
    <w:rsid w:val="004B7E44"/>
    <w:rPr>
      <w:rFonts w:asciiTheme="majorHAnsi" w:eastAsia="Times New Roman" w:hAnsiTheme="majorHAnsi" w:cs="Times New Roman"/>
      <w:b/>
      <w:color w:val="FFFFFF" w:themeColor="background1"/>
      <w:sz w:val="48"/>
      <w:szCs w:val="24"/>
    </w:rPr>
  </w:style>
  <w:style w:type="paragraph" w:styleId="Titel">
    <w:name w:val="Title"/>
    <w:basedOn w:val="Standaard"/>
    <w:link w:val="Titel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elChar">
    <w:name w:val="Titel Char"/>
    <w:basedOn w:val="Standaardalinea-lettertype"/>
    <w:link w:val="Titel"/>
    <w:uiPriority w:val="1"/>
    <w:rsid w:val="004B7E44"/>
    <w:rPr>
      <w:rFonts w:asciiTheme="majorHAnsi" w:eastAsia="Times New Roman" w:hAnsiTheme="majorHAnsi" w:cs="Times New Roman"/>
      <w:b/>
      <w:caps/>
      <w:color w:val="FFFFFF" w:themeColor="background1"/>
      <w:sz w:val="100"/>
      <w:szCs w:val="40"/>
    </w:rPr>
  </w:style>
  <w:style w:type="paragraph" w:styleId="Ondertitel">
    <w:name w:val="Subtitle"/>
    <w:basedOn w:val="Standaard"/>
    <w:link w:val="OndertitelChar"/>
    <w:uiPriority w:val="4"/>
    <w:qFormat/>
    <w:rsid w:val="00EC058A"/>
    <w:pPr>
      <w:contextualSpacing/>
    </w:pPr>
    <w:rPr>
      <w:rFonts w:eastAsia="Times New Roman" w:cs="Times New Roman"/>
      <w:b/>
      <w:sz w:val="68"/>
    </w:rPr>
  </w:style>
  <w:style w:type="character" w:customStyle="1" w:styleId="OndertitelChar">
    <w:name w:val="Ondertitel Char"/>
    <w:basedOn w:val="Standaardalinea-lettertype"/>
    <w:link w:val="Ondertitel"/>
    <w:uiPriority w:val="4"/>
    <w:rsid w:val="00EC058A"/>
    <w:rPr>
      <w:rFonts w:eastAsia="Times New Roman" w:cs="Times New Roman"/>
      <w:b/>
      <w:color w:val="FFFFFF" w:themeColor="background1"/>
      <w:sz w:val="68"/>
      <w:szCs w:val="22"/>
    </w:rPr>
  </w:style>
  <w:style w:type="paragraph" w:styleId="Geenafstand">
    <w:name w:val="No Spacing"/>
    <w:uiPriority w:val="1"/>
    <w:unhideWhenUsed/>
    <w:qFormat/>
    <w:rsid w:val="005A718F"/>
    <w:pPr>
      <w:spacing w:after="0"/>
    </w:pPr>
    <w:rPr>
      <w:rFonts w:eastAsia="Times New Roman" w:cs="Times New Roman"/>
      <w:spacing w:val="10"/>
    </w:rPr>
  </w:style>
  <w:style w:type="character" w:customStyle="1" w:styleId="Kop2Char">
    <w:name w:val="Kop 2 Char"/>
    <w:basedOn w:val="Standaardalinea-lettertype"/>
    <w:link w:val="Kop2"/>
    <w:uiPriority w:val="2"/>
    <w:rsid w:val="004B7E44"/>
    <w:rPr>
      <w:rFonts w:asciiTheme="majorHAnsi" w:eastAsia="Times New Roman" w:hAnsiTheme="majorHAnsi" w:cs="Times New Roman"/>
      <w:b/>
      <w:sz w:val="52"/>
      <w:szCs w:val="22"/>
    </w:rPr>
  </w:style>
  <w:style w:type="character" w:customStyle="1" w:styleId="Kop3Char">
    <w:name w:val="Kop 3 Char"/>
    <w:basedOn w:val="Standaardalinea-lettertype"/>
    <w:link w:val="Kop3"/>
    <w:uiPriority w:val="2"/>
    <w:rsid w:val="004B7E44"/>
    <w:rPr>
      <w:rFonts w:asciiTheme="majorHAnsi" w:eastAsia="Times New Roman" w:hAnsiTheme="majorHAnsi" w:cs="Times New Roman"/>
      <w:i/>
      <w:sz w:val="24"/>
      <w:szCs w:val="22"/>
    </w:rPr>
  </w:style>
  <w:style w:type="character" w:customStyle="1" w:styleId="Kop4Char">
    <w:name w:val="Kop 4 Char"/>
    <w:basedOn w:val="Standaardalinea-lettertype"/>
    <w:link w:val="Kop4"/>
    <w:uiPriority w:val="2"/>
    <w:rsid w:val="004B7E44"/>
    <w:rPr>
      <w:rFonts w:eastAsia="Times New Roman" w:cs="Times New Roman"/>
      <w:b/>
      <w:caps/>
      <w:color w:val="161718" w:themeColor="text1"/>
      <w:spacing w:val="20"/>
      <w:kern w:val="28"/>
      <w:sz w:val="24"/>
      <w:szCs w:val="22"/>
    </w:rPr>
  </w:style>
  <w:style w:type="paragraph" w:customStyle="1" w:styleId="Hoofdstuk">
    <w:name w:val="Hoofdstuk"/>
    <w:basedOn w:val="Standaard"/>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Kop5Char">
    <w:name w:val="Kop 5 Char"/>
    <w:basedOn w:val="Standaardalinea-lettertype"/>
    <w:link w:val="Kop5"/>
    <w:uiPriority w:val="2"/>
    <w:semiHidden/>
    <w:rsid w:val="005A718F"/>
    <w:rPr>
      <w:rFonts w:eastAsia="Times New Roman" w:cs="Times New Roman"/>
      <w:spacing w:val="-4"/>
      <w:kern w:val="28"/>
      <w:sz w:val="18"/>
      <w:szCs w:val="18"/>
    </w:rPr>
  </w:style>
  <w:style w:type="paragraph" w:styleId="Koptekst">
    <w:name w:val="header"/>
    <w:basedOn w:val="Standaard"/>
    <w:link w:val="KoptekstChar"/>
    <w:uiPriority w:val="99"/>
    <w:unhideWhenUsed/>
    <w:rsid w:val="005A718F"/>
    <w:pPr>
      <w:spacing w:line="240" w:lineRule="auto"/>
    </w:pPr>
  </w:style>
  <w:style w:type="character" w:customStyle="1" w:styleId="KoptekstChar">
    <w:name w:val="Koptekst Char"/>
    <w:basedOn w:val="Standaardalinea-lettertype"/>
    <w:link w:val="Koptekst"/>
    <w:uiPriority w:val="99"/>
    <w:rsid w:val="005A718F"/>
  </w:style>
  <w:style w:type="paragraph" w:styleId="Voettekst">
    <w:name w:val="footer"/>
    <w:basedOn w:val="Standaard"/>
    <w:link w:val="VoettekstChar"/>
    <w:uiPriority w:val="99"/>
    <w:unhideWhenUsed/>
    <w:rsid w:val="005A718F"/>
    <w:pPr>
      <w:spacing w:line="240" w:lineRule="auto"/>
      <w:jc w:val="center"/>
    </w:pPr>
  </w:style>
  <w:style w:type="character" w:customStyle="1" w:styleId="VoettekstChar">
    <w:name w:val="Voettekst Char"/>
    <w:basedOn w:val="Standaardalinea-lettertype"/>
    <w:link w:val="Voettekst"/>
    <w:uiPriority w:val="99"/>
    <w:rsid w:val="005A718F"/>
  </w:style>
  <w:style w:type="character" w:styleId="Tekstvantijdelijkeaanduiding">
    <w:name w:val="Placeholder Text"/>
    <w:basedOn w:val="Standaardalinea-lettertype"/>
    <w:uiPriority w:val="99"/>
    <w:semiHidden/>
    <w:rsid w:val="00945900"/>
    <w:rPr>
      <w:color w:val="808080"/>
    </w:rPr>
  </w:style>
  <w:style w:type="paragraph" w:styleId="Voetnoottekst">
    <w:name w:val="footnote text"/>
    <w:basedOn w:val="Standaard"/>
    <w:link w:val="VoetnoottekstChar"/>
    <w:uiPriority w:val="99"/>
    <w:semiHidden/>
    <w:unhideWhenUsed/>
    <w:rsid w:val="00930368"/>
    <w:pPr>
      <w:spacing w:line="240" w:lineRule="auto"/>
    </w:pPr>
    <w:rPr>
      <w:rFonts w:eastAsia="Aptos"/>
      <w:color w:val="auto"/>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930368"/>
    <w:rPr>
      <w:rFonts w:eastAsia="Aptos"/>
      <w:kern w:val="2"/>
      <w:sz w:val="20"/>
      <w:szCs w:val="20"/>
      <w14:ligatures w14:val="standardContextual"/>
    </w:rPr>
  </w:style>
  <w:style w:type="character" w:styleId="Voetnootmarkering">
    <w:name w:val="footnote reference"/>
    <w:basedOn w:val="Standaardalinea-lettertype"/>
    <w:uiPriority w:val="99"/>
    <w:semiHidden/>
    <w:unhideWhenUsed/>
    <w:rsid w:val="00930368"/>
    <w:rPr>
      <w:vertAlign w:val="superscript"/>
    </w:rPr>
  </w:style>
  <w:style w:type="character" w:styleId="Hyperlink">
    <w:name w:val="Hyperlink"/>
    <w:basedOn w:val="Standaardalinea-lettertype"/>
    <w:uiPriority w:val="99"/>
    <w:unhideWhenUsed/>
    <w:rsid w:val="00DA36D6"/>
    <w:rPr>
      <w:color w:val="93C842" w:themeColor="hyperlink"/>
      <w:u w:val="single"/>
    </w:rPr>
  </w:style>
  <w:style w:type="character" w:styleId="Onopgelostemelding">
    <w:name w:val="Unresolved Mention"/>
    <w:basedOn w:val="Standaardalinea-lettertype"/>
    <w:uiPriority w:val="99"/>
    <w:semiHidden/>
    <w:unhideWhenUsed/>
    <w:rsid w:val="00DA36D6"/>
    <w:rPr>
      <w:color w:val="605E5C"/>
      <w:shd w:val="clear" w:color="auto" w:fill="E1DFDD"/>
    </w:rPr>
  </w:style>
  <w:style w:type="paragraph" w:styleId="Lijstalinea">
    <w:name w:val="List Paragraph"/>
    <w:basedOn w:val="Standaard"/>
    <w:uiPriority w:val="34"/>
    <w:unhideWhenUsed/>
    <w:qFormat/>
    <w:rsid w:val="0017668B"/>
    <w:pPr>
      <w:ind w:left="720"/>
      <w:contextualSpacing/>
    </w:pPr>
  </w:style>
  <w:style w:type="paragraph" w:styleId="Normaalweb">
    <w:name w:val="Normal (Web)"/>
    <w:basedOn w:val="Standaard"/>
    <w:uiPriority w:val="99"/>
    <w:unhideWhenUsed/>
    <w:rsid w:val="0043649C"/>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styleId="Zwaar">
    <w:name w:val="Strong"/>
    <w:basedOn w:val="Standaardalinea-lettertype"/>
    <w:uiPriority w:val="22"/>
    <w:qFormat/>
    <w:rsid w:val="0043649C"/>
    <w:rPr>
      <w:b/>
      <w:bCs/>
    </w:rPr>
  </w:style>
  <w:style w:type="paragraph" w:styleId="Eindnoottekst">
    <w:name w:val="endnote text"/>
    <w:basedOn w:val="Standaard"/>
    <w:link w:val="EindnoottekstChar"/>
    <w:uiPriority w:val="99"/>
    <w:semiHidden/>
    <w:unhideWhenUsed/>
    <w:rsid w:val="00CB0F2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CB0F2F"/>
    <w:rPr>
      <w:rFonts w:eastAsiaTheme="minorEastAsia"/>
      <w:color w:val="FFFFFF" w:themeColor="background1"/>
      <w:sz w:val="20"/>
      <w:szCs w:val="20"/>
    </w:rPr>
  </w:style>
  <w:style w:type="character" w:styleId="Eindnootmarkering">
    <w:name w:val="endnote reference"/>
    <w:basedOn w:val="Standaardalinea-lettertype"/>
    <w:uiPriority w:val="99"/>
    <w:semiHidden/>
    <w:unhideWhenUsed/>
    <w:rsid w:val="00CB0F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5386153">
      <w:bodyDiv w:val="1"/>
      <w:marLeft w:val="0"/>
      <w:marRight w:val="0"/>
      <w:marTop w:val="0"/>
      <w:marBottom w:val="0"/>
      <w:divBdr>
        <w:top w:val="none" w:sz="0" w:space="0" w:color="auto"/>
        <w:left w:val="none" w:sz="0" w:space="0" w:color="auto"/>
        <w:bottom w:val="none" w:sz="0" w:space="0" w:color="auto"/>
        <w:right w:val="none" w:sz="0" w:space="0" w:color="auto"/>
      </w:divBdr>
    </w:div>
    <w:div w:id="453795260">
      <w:bodyDiv w:val="1"/>
      <w:marLeft w:val="0"/>
      <w:marRight w:val="0"/>
      <w:marTop w:val="0"/>
      <w:marBottom w:val="0"/>
      <w:divBdr>
        <w:top w:val="none" w:sz="0" w:space="0" w:color="auto"/>
        <w:left w:val="none" w:sz="0" w:space="0" w:color="auto"/>
        <w:bottom w:val="none" w:sz="0" w:space="0" w:color="auto"/>
        <w:right w:val="none" w:sz="0" w:space="0" w:color="auto"/>
      </w:divBdr>
    </w:div>
    <w:div w:id="768046566">
      <w:bodyDiv w:val="1"/>
      <w:marLeft w:val="0"/>
      <w:marRight w:val="0"/>
      <w:marTop w:val="0"/>
      <w:marBottom w:val="0"/>
      <w:divBdr>
        <w:top w:val="none" w:sz="0" w:space="0" w:color="auto"/>
        <w:left w:val="none" w:sz="0" w:space="0" w:color="auto"/>
        <w:bottom w:val="none" w:sz="0" w:space="0" w:color="auto"/>
        <w:right w:val="none" w:sz="0" w:space="0" w:color="auto"/>
      </w:divBdr>
    </w:div>
    <w:div w:id="913589780">
      <w:bodyDiv w:val="1"/>
      <w:marLeft w:val="0"/>
      <w:marRight w:val="0"/>
      <w:marTop w:val="0"/>
      <w:marBottom w:val="0"/>
      <w:divBdr>
        <w:top w:val="none" w:sz="0" w:space="0" w:color="auto"/>
        <w:left w:val="none" w:sz="0" w:space="0" w:color="auto"/>
        <w:bottom w:val="none" w:sz="0" w:space="0" w:color="auto"/>
        <w:right w:val="none" w:sz="0" w:space="0" w:color="auto"/>
      </w:divBdr>
    </w:div>
    <w:div w:id="994182969">
      <w:bodyDiv w:val="1"/>
      <w:marLeft w:val="0"/>
      <w:marRight w:val="0"/>
      <w:marTop w:val="0"/>
      <w:marBottom w:val="0"/>
      <w:divBdr>
        <w:top w:val="none" w:sz="0" w:space="0" w:color="auto"/>
        <w:left w:val="none" w:sz="0" w:space="0" w:color="auto"/>
        <w:bottom w:val="none" w:sz="0" w:space="0" w:color="auto"/>
        <w:right w:val="none" w:sz="0" w:space="0" w:color="auto"/>
      </w:divBdr>
    </w:div>
    <w:div w:id="1092048780">
      <w:bodyDiv w:val="1"/>
      <w:marLeft w:val="0"/>
      <w:marRight w:val="0"/>
      <w:marTop w:val="0"/>
      <w:marBottom w:val="0"/>
      <w:divBdr>
        <w:top w:val="none" w:sz="0" w:space="0" w:color="auto"/>
        <w:left w:val="none" w:sz="0" w:space="0" w:color="auto"/>
        <w:bottom w:val="none" w:sz="0" w:space="0" w:color="auto"/>
        <w:right w:val="none" w:sz="0" w:space="0" w:color="auto"/>
      </w:divBdr>
    </w:div>
    <w:div w:id="1360621980">
      <w:bodyDiv w:val="1"/>
      <w:marLeft w:val="0"/>
      <w:marRight w:val="0"/>
      <w:marTop w:val="0"/>
      <w:marBottom w:val="0"/>
      <w:divBdr>
        <w:top w:val="none" w:sz="0" w:space="0" w:color="auto"/>
        <w:left w:val="none" w:sz="0" w:space="0" w:color="auto"/>
        <w:bottom w:val="none" w:sz="0" w:space="0" w:color="auto"/>
        <w:right w:val="none" w:sz="0" w:space="0" w:color="auto"/>
      </w:divBdr>
    </w:div>
    <w:div w:id="1405908612">
      <w:bodyDiv w:val="1"/>
      <w:marLeft w:val="0"/>
      <w:marRight w:val="0"/>
      <w:marTop w:val="0"/>
      <w:marBottom w:val="0"/>
      <w:divBdr>
        <w:top w:val="none" w:sz="0" w:space="0" w:color="auto"/>
        <w:left w:val="none" w:sz="0" w:space="0" w:color="auto"/>
        <w:bottom w:val="none" w:sz="0" w:space="0" w:color="auto"/>
        <w:right w:val="none" w:sz="0" w:space="0" w:color="auto"/>
      </w:divBdr>
    </w:div>
    <w:div w:id="1408651857">
      <w:bodyDiv w:val="1"/>
      <w:marLeft w:val="0"/>
      <w:marRight w:val="0"/>
      <w:marTop w:val="0"/>
      <w:marBottom w:val="0"/>
      <w:divBdr>
        <w:top w:val="none" w:sz="0" w:space="0" w:color="auto"/>
        <w:left w:val="none" w:sz="0" w:space="0" w:color="auto"/>
        <w:bottom w:val="none" w:sz="0" w:space="0" w:color="auto"/>
        <w:right w:val="none" w:sz="0" w:space="0" w:color="auto"/>
      </w:divBdr>
    </w:div>
    <w:div w:id="166804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urts.delaware.gov/Opinions/Download.aspx?id=363410" TargetMode="External"/><Relationship Id="rId5" Type="http://schemas.openxmlformats.org/officeDocument/2006/relationships/webSettings" Target="webSettings.xml"/><Relationship Id="rId15" Type="http://schemas.openxmlformats.org/officeDocument/2006/relationships/hyperlink" Target="mailto:loor@loorlegal.nl" TargetMode="External"/><Relationship Id="rId10" Type="http://schemas.openxmlformats.org/officeDocument/2006/relationships/hyperlink" Target="https://courts.delaware.gov/Opinions/Download.aspx?id=36341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loorlegal.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Local\Microsoft\Office\16.0\DTS\nl-NL%7b09FB2F3F-2E18-40DA-A6F3-3F04CFA8E83A%7d\%7b2F57E00D-12AA-4F4F-B846-C7438F20D712%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8C970-E480-4CFB-A7CE-8687A8C94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{2F57E00D-12AA-4F4F-B846-C7438F20D712}tf16392796_win32</Template>
  <TotalTime>11</TotalTime>
  <Pages>8</Pages>
  <Words>3199</Words>
  <Characters>17599</Characters>
  <Application>Microsoft Office Word</Application>
  <DocSecurity>0</DocSecurity>
  <Lines>146</Lines>
  <Paragraphs>41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Ernest Loor</cp:lastModifiedBy>
  <cp:revision>8</cp:revision>
  <dcterms:created xsi:type="dcterms:W3CDTF">2024-10-24T12:52:00Z</dcterms:created>
  <dcterms:modified xsi:type="dcterms:W3CDTF">2024-11-14T08:19:00Z</dcterms:modified>
</cp:coreProperties>
</file>